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A97A6" w14:textId="77777777" w:rsidR="001323B3" w:rsidRDefault="007434DA">
      <w:pPr>
        <w:jc w:val="center"/>
        <w:rPr>
          <w:b/>
          <w:sz w:val="28"/>
          <w:szCs w:val="28"/>
        </w:rPr>
      </w:pPr>
      <w:r>
        <w:rPr>
          <w:noProof/>
        </w:rPr>
        <mc:AlternateContent>
          <mc:Choice Requires="wpg">
            <w:drawing>
              <wp:inline distT="0" distB="0" distL="0" distR="0" wp14:anchorId="342DF3C9" wp14:editId="61EE40D5">
                <wp:extent cx="5759450" cy="812800"/>
                <wp:effectExtent l="0" t="0" r="0" b="0"/>
                <wp:docPr id="1" name="Image 2" descr="https://cap2025.fr/uas/CAP2025/LOGO_COMPOSANTE/banniere+rubrique_JC_bili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cap2025.fr/uas/CAP2025/LOGO_COMPOSANTE/banniere+rubrique_JC_bilingue.jpg"/>
                        <pic:cNvPicPr>
                          <a:picLocks noChangeAspect="1"/>
                        </pic:cNvPicPr>
                      </pic:nvPicPr>
                      <pic:blipFill>
                        <a:blip r:embed="rId9"/>
                        <a:stretch/>
                      </pic:blipFill>
                      <pic:spPr bwMode="auto">
                        <a:xfrm>
                          <a:off x="0" y="0"/>
                          <a:ext cx="5759450" cy="8128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3.5pt;height:64.0pt;" stroked="f">
                <v:path textboxrect="0,0,0,0"/>
                <v:imagedata r:id="rId12" o:title=""/>
              </v:shape>
            </w:pict>
          </mc:Fallback>
        </mc:AlternateContent>
      </w:r>
    </w:p>
    <w:p w14:paraId="1958844A" w14:textId="77777777" w:rsidR="001323B3" w:rsidRDefault="007434DA">
      <w:pPr>
        <w:jc w:val="center"/>
        <w:rPr>
          <w:i/>
          <w:sz w:val="28"/>
          <w:szCs w:val="28"/>
        </w:rPr>
      </w:pPr>
      <w:r>
        <w:rPr>
          <w:i/>
          <w:sz w:val="28"/>
          <w:szCs w:val="28"/>
        </w:rPr>
        <w:t>CENTRE INTERNATIONAL DE RECHERCHE SUR LES AGROSYSTEMES (CIR)</w:t>
      </w:r>
    </w:p>
    <w:p w14:paraId="73D7BB35" w14:textId="77777777" w:rsidR="001323B3" w:rsidRDefault="007434DA">
      <w:pPr>
        <w:spacing w:before="160"/>
        <w:jc w:val="center"/>
      </w:pPr>
      <w:r>
        <w:rPr>
          <w:b/>
          <w:sz w:val="28"/>
          <w:szCs w:val="28"/>
        </w:rPr>
        <w:t>OFFRE DE THESE</w:t>
      </w:r>
    </w:p>
    <w:p w14:paraId="3635E687" w14:textId="77777777" w:rsidR="001323B3" w:rsidRDefault="007434DA">
      <w:pPr>
        <w:pBdr>
          <w:top w:val="single" w:sz="4" w:space="1" w:color="auto"/>
          <w:left w:val="single" w:sz="4" w:space="4" w:color="auto"/>
          <w:bottom w:val="single" w:sz="4" w:space="1" w:color="auto"/>
          <w:right w:val="single" w:sz="4" w:space="4" w:color="auto"/>
        </w:pBdr>
        <w:spacing w:before="160"/>
        <w:jc w:val="center"/>
        <w:rPr>
          <w:b/>
        </w:rPr>
      </w:pPr>
      <w:r>
        <w:rPr>
          <w:b/>
        </w:rPr>
        <w:t>Titre</w:t>
      </w:r>
    </w:p>
    <w:p w14:paraId="4CD98FB3" w14:textId="77777777" w:rsidR="001323B3" w:rsidRDefault="007434DA">
      <w:pPr>
        <w:pBdr>
          <w:top w:val="single" w:sz="4" w:space="1" w:color="auto"/>
          <w:left w:val="single" w:sz="4" w:space="4" w:color="auto"/>
          <w:bottom w:val="single" w:sz="4" w:space="1" w:color="auto"/>
          <w:right w:val="single" w:sz="4" w:space="4" w:color="auto"/>
        </w:pBdr>
        <w:spacing w:before="160"/>
        <w:jc w:val="center"/>
        <w:rPr>
          <w:b/>
        </w:rPr>
      </w:pPr>
      <w:r>
        <w:t xml:space="preserve">Modélisation des effets de la structure spatiale du couvert arboré sur le partage des ressources lumière, eau et azote </w:t>
      </w:r>
      <w:r>
        <w:rPr>
          <w:rFonts w:ascii="Arial" w:hAnsi="Arial" w:cs="Arial"/>
          <w:sz w:val="20"/>
        </w:rPr>
        <w:t>et le microclimat</w:t>
      </w:r>
    </w:p>
    <w:p w14:paraId="516AAAE1" w14:textId="77777777" w:rsidR="001323B3" w:rsidRDefault="001323B3">
      <w:pPr>
        <w:spacing w:after="0" w:line="240" w:lineRule="auto"/>
        <w:jc w:val="both"/>
        <w:rPr>
          <w:rFonts w:eastAsia="times" w:cs="Calibri"/>
          <w:b/>
          <w:sz w:val="4"/>
          <w:szCs w:val="4"/>
          <w:lang w:eastAsia="fr-FR"/>
        </w:rPr>
      </w:pPr>
    </w:p>
    <w:p w14:paraId="042A6650" w14:textId="77777777" w:rsidR="001323B3" w:rsidRDefault="007434DA">
      <w:pPr>
        <w:pBdr>
          <w:top w:val="single" w:sz="4" w:space="1" w:color="auto"/>
          <w:left w:val="single" w:sz="4" w:space="4" w:color="auto"/>
          <w:bottom w:val="single" w:sz="4" w:space="1" w:color="auto"/>
          <w:right w:val="single" w:sz="4" w:space="4" w:color="auto"/>
        </w:pBdr>
        <w:spacing w:before="160"/>
        <w:rPr>
          <w:b/>
        </w:rPr>
      </w:pPr>
      <w:r>
        <w:rPr>
          <w:b/>
        </w:rPr>
        <w:t>Résumé (en 10 lignes) :</w:t>
      </w:r>
    </w:p>
    <w:p w14:paraId="69A3C61B" w14:textId="77777777" w:rsidR="001323B3" w:rsidRDefault="007434DA">
      <w:pPr>
        <w:pBdr>
          <w:top w:val="single" w:sz="4" w:space="0" w:color="000000"/>
          <w:left w:val="single" w:sz="4" w:space="3" w:color="000000"/>
          <w:bottom w:val="single" w:sz="4" w:space="0" w:color="000000"/>
          <w:right w:val="single" w:sz="4" w:space="3" w:color="000000"/>
        </w:pBdr>
        <w:tabs>
          <w:tab w:val="left" w:pos="280"/>
          <w:tab w:val="left" w:pos="580"/>
          <w:tab w:val="left" w:pos="1560"/>
        </w:tabs>
        <w:jc w:val="both"/>
        <w:rPr>
          <w:rStyle w:val="mediumtext1"/>
          <w:rFonts w:ascii="Arial" w:hAnsi="Arial" w:cs="Arial"/>
          <w:sz w:val="20"/>
          <w:shd w:val="clear" w:color="auto" w:fill="FFFFFF"/>
        </w:rPr>
        <w:sectPr w:rsidR="001323B3">
          <w:footerReference w:type="default" r:id="rId13"/>
          <w:pgSz w:w="11906" w:h="16838"/>
          <w:pgMar w:top="1417" w:right="1417" w:bottom="1417" w:left="1417" w:header="708" w:footer="708" w:gutter="0"/>
          <w:cols w:space="708"/>
          <w:docGrid w:linePitch="360"/>
        </w:sectPr>
      </w:pPr>
      <w:r>
        <w:rPr>
          <w:rStyle w:val="mediumtext1"/>
          <w:rFonts w:ascii="Arial" w:hAnsi="Arial" w:cs="Arial"/>
          <w:sz w:val="20"/>
          <w:shd w:val="clear" w:color="auto" w:fill="FFFFFF"/>
        </w:rPr>
        <w:t xml:space="preserve">La structure du couvert arboré (agencement dans l’espace des arbres, composition, densité) a une nette influence sur le microclimat (rayonnement, température, hygrométrie) et la disponibilité des ressources (lumière, eau, azote) au sein des écosystèmes arborés naturels ou cultivés. </w:t>
      </w:r>
      <w:r>
        <w:rPr>
          <w:rFonts w:ascii="Arial" w:hAnsi="Arial" w:cs="Arial"/>
          <w:sz w:val="20"/>
        </w:rPr>
        <w:t xml:space="preserve">En particulier, elle peut conduire à un microclimat tamponné par rapport à l’extérieur du peuplement arboré et à des propriétés émergentes favorisant la disponibilité en ressources. Ces propriétés sont particulièrement importantes à prendre en compte dans le contexte général de changement climatique </w:t>
      </w:r>
      <w:proofErr w:type="gramStart"/>
      <w:r>
        <w:rPr>
          <w:rFonts w:ascii="Arial" w:hAnsi="Arial" w:cs="Arial"/>
          <w:sz w:val="20"/>
        </w:rPr>
        <w:t>en terme</w:t>
      </w:r>
      <w:proofErr w:type="gramEnd"/>
      <w:r>
        <w:rPr>
          <w:rFonts w:ascii="Arial" w:hAnsi="Arial" w:cs="Arial"/>
          <w:sz w:val="20"/>
        </w:rPr>
        <w:t xml:space="preserve"> d’atténuation du réchauffement. </w:t>
      </w:r>
      <w:r>
        <w:rPr>
          <w:rStyle w:val="mediumtext1"/>
          <w:rFonts w:ascii="Arial" w:hAnsi="Arial" w:cs="Arial"/>
          <w:sz w:val="20"/>
          <w:shd w:val="clear" w:color="auto" w:fill="FFFFFF"/>
        </w:rPr>
        <w:t xml:space="preserve">Dans une approche systémique, il est nécessaire d’intégrer les interactions entre les différentes strates de l’écosystème (arboré, arbustive, herbacée) pour optimiser le </w:t>
      </w:r>
      <w:r>
        <w:rPr>
          <w:rStyle w:val="mediumtext1"/>
          <w:rFonts w:ascii="Arial" w:hAnsi="Arial" w:cs="Arial"/>
          <w:sz w:val="20"/>
          <w:shd w:val="clear" w:color="auto" w:fill="FFFFFF"/>
        </w:rPr>
        <w:t xml:space="preserve">partage des ressources. L’hypothèse testée serait qu’il existe une ou des structures arborées qui permette(nt) d’optimiser les différentes ressources sous différentes hypothèses de forçage climatique. En s’appuyant sur une approche théorique basée sur des processus génériques, la démarche est de paramétrer et </w:t>
      </w:r>
      <w:proofErr w:type="gramStart"/>
      <w:r>
        <w:rPr>
          <w:rStyle w:val="mediumtext1"/>
          <w:rFonts w:ascii="Arial" w:hAnsi="Arial" w:cs="Arial"/>
          <w:sz w:val="20"/>
          <w:shd w:val="clear" w:color="auto" w:fill="FFFFFF"/>
        </w:rPr>
        <w:t>valider</w:t>
      </w:r>
      <w:proofErr w:type="gramEnd"/>
      <w:r>
        <w:rPr>
          <w:rStyle w:val="mediumtext1"/>
          <w:rFonts w:ascii="Arial" w:hAnsi="Arial" w:cs="Arial"/>
          <w:sz w:val="20"/>
          <w:shd w:val="clear" w:color="auto" w:fill="FFFFFF"/>
        </w:rPr>
        <w:t xml:space="preserve"> le modèle </w:t>
      </w:r>
      <w:proofErr w:type="spellStart"/>
      <w:r>
        <w:t>RReShar</w:t>
      </w:r>
      <w:proofErr w:type="spellEnd"/>
      <w:r>
        <w:t xml:space="preserve"> (</w:t>
      </w:r>
      <w:proofErr w:type="spellStart"/>
      <w:r>
        <w:t>Regeneration</w:t>
      </w:r>
      <w:proofErr w:type="spellEnd"/>
      <w:r>
        <w:t xml:space="preserve"> and Resource Sharing)</w:t>
      </w:r>
      <w:r>
        <w:rPr>
          <w:rStyle w:val="mediumtext1"/>
          <w:rFonts w:ascii="Arial" w:hAnsi="Arial" w:cs="Arial"/>
          <w:sz w:val="20"/>
          <w:shd w:val="clear" w:color="auto" w:fill="FFFFFF"/>
        </w:rPr>
        <w:t xml:space="preserve"> afin de tester </w:t>
      </w:r>
      <w:r>
        <w:rPr>
          <w:rStyle w:val="mediumtext1"/>
          <w:rFonts w:ascii="Arial" w:hAnsi="Arial" w:cs="Arial"/>
          <w:i/>
          <w:sz w:val="20"/>
          <w:shd w:val="clear" w:color="auto" w:fill="FFFFFF"/>
        </w:rPr>
        <w:t>in silico</w:t>
      </w:r>
      <w:r>
        <w:rPr>
          <w:rStyle w:val="mediumtext1"/>
          <w:rFonts w:ascii="Arial" w:hAnsi="Arial" w:cs="Arial"/>
          <w:sz w:val="20"/>
          <w:shd w:val="clear" w:color="auto" w:fill="FFFFFF"/>
        </w:rPr>
        <w:t xml:space="preserve"> l’effet de différentes structures arborées de complexité croissante. La thèse reposera sur la plateforme de modéli</w:t>
      </w:r>
      <w:r>
        <w:rPr>
          <w:rStyle w:val="mediumtext1"/>
          <w:rFonts w:ascii="Arial" w:hAnsi="Arial" w:cs="Arial"/>
          <w:sz w:val="20"/>
          <w:shd w:val="clear" w:color="auto" w:fill="FFFFFF"/>
        </w:rPr>
        <w:t xml:space="preserve">sation </w:t>
      </w:r>
      <w:proofErr w:type="spellStart"/>
      <w:r>
        <w:rPr>
          <w:rStyle w:val="mediumtext1"/>
          <w:rFonts w:ascii="Arial" w:hAnsi="Arial" w:cs="Arial"/>
          <w:sz w:val="20"/>
          <w:shd w:val="clear" w:color="auto" w:fill="FFFFFF"/>
        </w:rPr>
        <w:t>Capsis</w:t>
      </w:r>
      <w:proofErr w:type="spellEnd"/>
      <w:r>
        <w:rPr>
          <w:rStyle w:val="mediumtext1"/>
          <w:rFonts w:ascii="Arial" w:hAnsi="Arial" w:cs="Arial"/>
          <w:sz w:val="20"/>
          <w:shd w:val="clear" w:color="auto" w:fill="FFFFFF"/>
        </w:rPr>
        <w:t xml:space="preserve">, déjà utilisée par l’équipe. </w:t>
      </w:r>
    </w:p>
    <w:p w14:paraId="4AF3D8BE" w14:textId="77777777" w:rsidR="001323B3" w:rsidRDefault="001323B3">
      <w:pPr>
        <w:spacing w:before="160"/>
        <w:rPr>
          <w:sz w:val="4"/>
          <w:szCs w:val="4"/>
        </w:rPr>
      </w:pPr>
    </w:p>
    <w:p w14:paraId="07CED030" w14:textId="77777777" w:rsidR="001323B3" w:rsidRDefault="001323B3">
      <w:pPr>
        <w:spacing w:before="160"/>
        <w:rPr>
          <w:sz w:val="4"/>
          <w:szCs w:val="4"/>
        </w:rPr>
      </w:pPr>
    </w:p>
    <w:p w14:paraId="241568C7" w14:textId="77777777" w:rsidR="001323B3" w:rsidRDefault="007434DA">
      <w:pPr>
        <w:pBdr>
          <w:top w:val="single" w:sz="4" w:space="1" w:color="auto"/>
          <w:left w:val="single" w:sz="4" w:space="4" w:color="auto"/>
          <w:bottom w:val="single" w:sz="4" w:space="1" w:color="auto"/>
          <w:right w:val="single" w:sz="4" w:space="4" w:color="auto"/>
        </w:pBdr>
        <w:spacing w:before="160"/>
      </w:pPr>
      <w:r>
        <w:rPr>
          <w:b/>
        </w:rPr>
        <w:t>Etat de l’art / Questionnement scientifique</w:t>
      </w:r>
      <w:r>
        <w:t xml:space="preserve"> :</w:t>
      </w:r>
    </w:p>
    <w:p w14:paraId="64615BA1" w14:textId="77777777" w:rsidR="001323B3" w:rsidRDefault="007434DA">
      <w:pPr>
        <w:pBdr>
          <w:top w:val="single" w:sz="4" w:space="1" w:color="auto"/>
          <w:left w:val="single" w:sz="4" w:space="4" w:color="auto"/>
          <w:bottom w:val="single" w:sz="4" w:space="1" w:color="auto"/>
          <w:right w:val="single" w:sz="4" w:space="4" w:color="auto"/>
        </w:pBdr>
        <w:spacing w:before="160" w:line="240" w:lineRule="auto"/>
        <w:jc w:val="both"/>
      </w:pPr>
      <w:r>
        <w:rPr>
          <w:b/>
        </w:rPr>
        <w:t>Contexte</w:t>
      </w:r>
      <w:r>
        <w:t xml:space="preserve"> : Les travaux des dernières décades montrent que la structure du couvert arboré (densité des arbres, disposition spatiale, composition spécifique) a une nette influence sur la disponibilité des ressources (lumière, eau, azote) entre les différentes strates des écosystèmes naturels ou cultivés et incluant des interactions fonctionnelles entre elles </w:t>
      </w:r>
      <w:r>
        <w:fldChar w:fldCharType="begin"/>
      </w:r>
      <w:r>
        <w:instrText xml:space="preserve"> ADDIN EN.CITE </w:instrText>
      </w:r>
      <w:r>
        <w:fldChar w:fldCharType="begin"/>
      </w:r>
      <w:r>
        <w:instrText xml:space="preserve"> ADDIN EN.CITE.DATA </w:instrText>
      </w:r>
      <w:r>
        <w:fldChar w:fldCharType="end"/>
      </w:r>
      <w:r>
        <w:fldChar w:fldCharType="separate"/>
      </w:r>
      <w:r>
        <w:t>(</w:t>
      </w:r>
      <w:hyperlink w:anchor="_ENREF_11" w:tooltip="Vernay, 2017 #9966" w:history="1">
        <w:r>
          <w:t>Barbier et al., 2008, Vernay et al., 2017</w:t>
        </w:r>
      </w:hyperlink>
      <w:r>
        <w:t xml:space="preserve">, </w:t>
      </w:r>
      <w:hyperlink w:anchor="_ENREF_10" w:tooltip="Vernay, 2019 #13402" w:history="1">
        <w:r>
          <w:t>Vernay et al., 2019</w:t>
        </w:r>
      </w:hyperlink>
      <w:r>
        <w:t xml:space="preserve">, </w:t>
      </w:r>
      <w:hyperlink w:anchor="_ENREF_9" w:tooltip="Vernay, 2016 #13401" w:history="1">
        <w:r>
          <w:t>Vernay et al., 2016</w:t>
        </w:r>
      </w:hyperlink>
      <w:r>
        <w:t xml:space="preserve">, </w:t>
      </w:r>
      <w:hyperlink w:anchor="_ENREF_5" w:tooltip="Fernandez, 2020 #13113" w:history="1">
        <w:r>
          <w:t>Fernandez et al., 2020b</w:t>
        </w:r>
      </w:hyperlink>
      <w:r>
        <w:t xml:space="preserve">, </w:t>
      </w:r>
      <w:hyperlink w:anchor="_ENREF_4" w:tooltip="Fernandez, 2020 #13333" w:history="1">
        <w:r>
          <w:t>Fernandez et al., 2020a</w:t>
        </w:r>
      </w:hyperlink>
      <w:r>
        <w:t xml:space="preserve">, </w:t>
      </w:r>
      <w:hyperlink w:anchor="_ENREF_6" w:tooltip="Fernandez, 2022 #15210" w:history="1">
        <w:r>
          <w:t xml:space="preserve">Fernandez et al., 2022, </w:t>
        </w:r>
      </w:hyperlink>
      <w:r>
        <w:t>Henneron et al., 2017, 2018)</w:t>
      </w:r>
      <w:r>
        <w:fldChar w:fldCharType="end"/>
      </w:r>
      <w:r>
        <w:t>. Cette structure induit également des propriétés émergentes en termes météorologique et microclimatique qui peuvent influencer les interactions fonctionnelles entre les différentes strates végétales</w:t>
      </w:r>
      <w:r>
        <w:fldChar w:fldCharType="begin"/>
      </w:r>
      <w:r>
        <w:instrText xml:space="preserve"> ADDIN EN.CITE </w:instrText>
      </w:r>
      <w:r>
        <w:fldChar w:fldCharType="begin"/>
      </w:r>
      <w:r>
        <w:instrText xml:space="preserve"> ADDIN EN.CITE.DATA </w:instrText>
      </w:r>
      <w:r>
        <w:fldChar w:fldCharType="end"/>
      </w:r>
      <w:r>
        <w:fldChar w:fldCharType="separate"/>
      </w:r>
      <w:r>
        <w:t xml:space="preserve"> (</w:t>
      </w:r>
      <w:hyperlink w:anchor="_ENREF_1" w:tooltip="Balandier, 2006 #13307" w:history="1">
        <w:r>
          <w:t>Balandier et al., 2006</w:t>
        </w:r>
      </w:hyperlink>
      <w:r>
        <w:t xml:space="preserve">, </w:t>
      </w:r>
      <w:hyperlink w:anchor="_ENREF_3" w:tooltip="Barbier, 2009 #6842" w:history="1">
        <w:r>
          <w:t>Balandier et al., 2022a et b, Barbier et al., 2009</w:t>
        </w:r>
      </w:hyperlink>
      <w:r>
        <w:t xml:space="preserve">, </w:t>
      </w:r>
      <w:hyperlink w:anchor="_ENREF_7" w:tooltip="Gaudio, 2017 #7763" w:history="1">
        <w:r>
          <w:t>Gaudio et al., 2017, Prévosto et al., 2020</w:t>
        </w:r>
      </w:hyperlink>
      <w:r>
        <w:t>)</w:t>
      </w:r>
      <w:r>
        <w:fldChar w:fldCharType="end"/>
      </w:r>
      <w:r>
        <w:t>. En particulier, elles peuvent conduire à un microclimat tamponné par rapport à l’extérieur du peuplement arboré. Ces propriétés sont particulièrement importantes à prendre en compte dans le contexte général de réchauffement du climat. En particulier elles peuvent conditionner la réussite des cultures associées aux arbres dans les systèmes agroforestiers (balandier et al., 2003) ou la régénération et la diversité des forêts cultivées.</w:t>
      </w:r>
    </w:p>
    <w:p w14:paraId="06051851" w14:textId="77777777" w:rsidR="001323B3" w:rsidRDefault="007434DA">
      <w:pPr>
        <w:pBdr>
          <w:top w:val="single" w:sz="4" w:space="1" w:color="auto"/>
          <w:left w:val="single" w:sz="4" w:space="4" w:color="auto"/>
          <w:bottom w:val="single" w:sz="4" w:space="1" w:color="auto"/>
          <w:right w:val="single" w:sz="4" w:space="4" w:color="auto"/>
        </w:pBdr>
        <w:spacing w:before="160" w:line="240" w:lineRule="auto"/>
        <w:jc w:val="both"/>
      </w:pPr>
      <w:r>
        <w:rPr>
          <w:b/>
        </w:rPr>
        <w:t>Objectif &amp; hypothèse</w:t>
      </w:r>
      <w:r>
        <w:t xml:space="preserve"> : L’objectif de la thèse est d’identifier la (ou les) structure(s) du couvert arboré qui permettent d’optimiser la disponibilité en ressources et le microclimat au sein des écosystèmes arborés (forestiers, agroforestiers) afin de concevoir et optimiser des écosystèmes cultivés plus résilients à la contrainte climatique. L’hypothèse principale testée dans la thèse serait qu’il existe une ou des structures arborées (ni trop ouvertes, ni trop fermées, étagées) qui permettent d’optimiser le partage des ressour</w:t>
      </w:r>
      <w:r>
        <w:t>ces sous différentes hypothèses de forçage climatique.</w:t>
      </w:r>
    </w:p>
    <w:p w14:paraId="0C829353" w14:textId="77777777" w:rsidR="001323B3" w:rsidRDefault="007434DA">
      <w:pPr>
        <w:pBdr>
          <w:top w:val="single" w:sz="4" w:space="1" w:color="auto"/>
          <w:left w:val="single" w:sz="4" w:space="4" w:color="auto"/>
          <w:bottom w:val="single" w:sz="4" w:space="1" w:color="auto"/>
          <w:right w:val="single" w:sz="4" w:space="4" w:color="auto"/>
        </w:pBdr>
        <w:spacing w:before="160" w:line="240" w:lineRule="auto"/>
        <w:jc w:val="both"/>
      </w:pPr>
      <w:r>
        <w:rPr>
          <w:b/>
        </w:rPr>
        <w:t>Démarche</w:t>
      </w:r>
      <w:r>
        <w:t xml:space="preserve"> : Cette approche théorique et systémique s’appuie sur la connaissance de processus génériques impliqués dans le partage des ressources entre espèces végétales, dans un écosystème arboré adulte. Comme il est quasiment impossible de tester </w:t>
      </w:r>
      <w:r>
        <w:rPr>
          <w:i/>
        </w:rPr>
        <w:t>in vivo</w:t>
      </w:r>
      <w:r>
        <w:t xml:space="preserve"> de multiples structures arborées, en particulier adultes, l’outil de modélisation sera privilégié. La démarche générale est de paramétrer le modèle sur la base de quelques placettes expérimentales</w:t>
      </w:r>
      <w:r>
        <w:rPr>
          <w:rStyle w:val="Appelnotedebasdep"/>
        </w:rPr>
        <w:footnoteReference w:id="1"/>
      </w:r>
      <w:r>
        <w:t>, de l’évaluer sur la base de l’enregistrement des ressources sur le terrain et de le valider sur quelques placettes indépendantes. L’écosystème type étudié sera composé d’une ou quelques espèces arborées et d’une strate herbacée de graminées. Les sorties du modèle seront des incréments de croissances, en hauteur et en couvert sur quelques années, et proxy de la biomasse pour la végétation d’une part et l’établissement du bilan en eau, azote et lumière pour les ressources, d’autre part. Le plan d’expériment</w:t>
      </w:r>
      <w:r>
        <w:t>ation numérique s’attachera à tester deux variables : la densité d’arbres ainsi que leur arrangement spatial (répartition homogène ou hétérogène sur la parcelle), et ce de façon combinée (e.g. Barrère et al., 2024). Une comparaison de l’effet de structures arborées ayant des niveaux de complexité croissante sera menée. Le modèle prendra en compte de façon explicite le partage des ressources entre les différentes strates de l’écosystème, élément fondamental de l’approche systémique. La thèse utilisera la pla</w:t>
      </w:r>
      <w:r>
        <w:t xml:space="preserve">teforme de modélisation </w:t>
      </w:r>
      <w:proofErr w:type="spellStart"/>
      <w:r>
        <w:t>Capsis</w:t>
      </w:r>
      <w:proofErr w:type="spellEnd"/>
      <w:r>
        <w:t xml:space="preserve"> que l’équipe MEA du PIAF utilise déjà et dans laquelle le modèle </w:t>
      </w:r>
      <w:proofErr w:type="spellStart"/>
      <w:r>
        <w:t>RReShar</w:t>
      </w:r>
      <w:proofErr w:type="spellEnd"/>
      <w:r>
        <w:t xml:space="preserve"> (</w:t>
      </w:r>
      <w:proofErr w:type="spellStart"/>
      <w:r>
        <w:t>Regeneration</w:t>
      </w:r>
      <w:proofErr w:type="spellEnd"/>
      <w:r>
        <w:t xml:space="preserve"> and Resource Sharing, </w:t>
      </w:r>
      <w:r>
        <w:rPr>
          <w:i/>
        </w:rPr>
        <w:t>e.g.</w:t>
      </w:r>
      <w:r>
        <w:t xml:space="preserve"> Balandier et al., 2013 ; Barrère et al., 2024) est implémenté. Il simule la croissance de différentes strates végétales en interaction pour la lumière et l’eau au sein d’un même écosystème. Il nécessitera des développements, notamment l’introduction du cycle de l’azote et de l’effet de variables de forçage climatique autres que l’eau ou la lumière (températures ext</w:t>
      </w:r>
      <w:r>
        <w:t>rêmes notamment). La thèse bénéficiera des compétences scientifiques et techniques de l’équipe d’accueil en termes de caractérisation des processus écologiques, écophysiologiques et de l’environnement microclimatique (température, rayonnement perçu) et en termes de modélisation.</w:t>
      </w:r>
    </w:p>
    <w:p w14:paraId="085A9DF7" w14:textId="77777777" w:rsidR="001323B3" w:rsidRDefault="001323B3">
      <w:pPr>
        <w:spacing w:before="160"/>
        <w:rPr>
          <w:sz w:val="4"/>
          <w:szCs w:val="4"/>
        </w:rPr>
      </w:pPr>
    </w:p>
    <w:p w14:paraId="176AB2CC" w14:textId="77777777" w:rsidR="001323B3" w:rsidRDefault="001323B3">
      <w:pPr>
        <w:spacing w:before="160"/>
        <w:rPr>
          <w:sz w:val="4"/>
          <w:szCs w:val="4"/>
        </w:rPr>
      </w:pPr>
    </w:p>
    <w:p w14:paraId="7359FA13" w14:textId="77777777" w:rsidR="001323B3" w:rsidRDefault="007434DA">
      <w:pPr>
        <w:pBdr>
          <w:top w:val="single" w:sz="4" w:space="1" w:color="auto"/>
          <w:left w:val="single" w:sz="4" w:space="4" w:color="auto"/>
          <w:bottom w:val="single" w:sz="4" w:space="1" w:color="auto"/>
          <w:right w:val="single" w:sz="4" w:space="4" w:color="auto"/>
        </w:pBdr>
        <w:spacing w:before="160"/>
      </w:pPr>
      <w:r>
        <w:rPr>
          <w:b/>
        </w:rPr>
        <w:t>Proposition de déroulement du projet</w:t>
      </w:r>
      <w:r>
        <w:t> (possibilité d’insérer un diagramme de Gantt) :</w:t>
      </w: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74"/>
        <w:gridCol w:w="354"/>
        <w:gridCol w:w="354"/>
        <w:gridCol w:w="354"/>
        <w:gridCol w:w="354"/>
        <w:gridCol w:w="354"/>
        <w:gridCol w:w="354"/>
        <w:gridCol w:w="354"/>
        <w:gridCol w:w="354"/>
        <w:gridCol w:w="354"/>
        <w:gridCol w:w="354"/>
        <w:gridCol w:w="354"/>
        <w:gridCol w:w="354"/>
      </w:tblGrid>
      <w:tr w:rsidR="001323B3" w14:paraId="794F08FC" w14:textId="77777777">
        <w:trPr>
          <w:trHeight w:val="300"/>
          <w:jc w:val="center"/>
        </w:trPr>
        <w:tc>
          <w:tcPr>
            <w:tcW w:w="2874"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DDB8D0F" w14:textId="77777777" w:rsidR="001323B3" w:rsidRDefault="007434DA">
            <w:pPr>
              <w:spacing w:after="0" w:line="57" w:lineRule="atLeast"/>
            </w:pPr>
            <w:r>
              <w:rPr>
                <w:rFonts w:cs="Calibri"/>
                <w:color w:val="000000"/>
              </w:rPr>
              <w:t>Trimestre</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ABF507D" w14:textId="77777777" w:rsidR="001323B3" w:rsidRDefault="007434DA">
            <w:pPr>
              <w:spacing w:after="0" w:line="57" w:lineRule="atLeast"/>
              <w:jc w:val="center"/>
            </w:pPr>
            <w:r>
              <w:rPr>
                <w:rFonts w:cs="Calibri"/>
                <w:color w:val="000000"/>
              </w:rPr>
              <w:t>1</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87FB5A9" w14:textId="77777777" w:rsidR="001323B3" w:rsidRDefault="007434DA">
            <w:pPr>
              <w:spacing w:after="0" w:line="57" w:lineRule="atLeast"/>
              <w:jc w:val="center"/>
            </w:pPr>
            <w:r>
              <w:rPr>
                <w:rFonts w:cs="Calibri"/>
                <w:color w:val="000000"/>
              </w:rPr>
              <w:t>2</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668DD99" w14:textId="77777777" w:rsidR="001323B3" w:rsidRDefault="007434DA">
            <w:pPr>
              <w:spacing w:after="0" w:line="57" w:lineRule="atLeast"/>
              <w:jc w:val="center"/>
            </w:pPr>
            <w:r>
              <w:rPr>
                <w:rFonts w:cs="Calibri"/>
                <w:color w:val="000000"/>
              </w:rPr>
              <w:t>3</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00A222E" w14:textId="77777777" w:rsidR="001323B3" w:rsidRDefault="007434DA">
            <w:pPr>
              <w:spacing w:after="0" w:line="57" w:lineRule="atLeast"/>
              <w:jc w:val="center"/>
            </w:pPr>
            <w:r>
              <w:rPr>
                <w:rFonts w:cs="Calibri"/>
                <w:color w:val="000000"/>
              </w:rPr>
              <w:t>4</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FCE1241" w14:textId="77777777" w:rsidR="001323B3" w:rsidRDefault="007434DA">
            <w:pPr>
              <w:spacing w:after="0" w:line="57" w:lineRule="atLeast"/>
              <w:jc w:val="center"/>
            </w:pPr>
            <w:r>
              <w:rPr>
                <w:rFonts w:cs="Calibri"/>
                <w:color w:val="000000"/>
              </w:rPr>
              <w:t>1</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F9F35C1" w14:textId="77777777" w:rsidR="001323B3" w:rsidRDefault="007434DA">
            <w:pPr>
              <w:spacing w:after="0" w:line="57" w:lineRule="atLeast"/>
              <w:jc w:val="center"/>
            </w:pPr>
            <w:r>
              <w:rPr>
                <w:rFonts w:cs="Calibri"/>
                <w:color w:val="000000"/>
              </w:rPr>
              <w:t>2</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9DE2DC5" w14:textId="77777777" w:rsidR="001323B3" w:rsidRDefault="007434DA">
            <w:pPr>
              <w:spacing w:after="0" w:line="57" w:lineRule="atLeast"/>
              <w:jc w:val="center"/>
            </w:pPr>
            <w:r>
              <w:rPr>
                <w:rFonts w:cs="Calibri"/>
                <w:color w:val="000000"/>
              </w:rPr>
              <w:t>3</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B8E8D65" w14:textId="77777777" w:rsidR="001323B3" w:rsidRDefault="007434DA">
            <w:pPr>
              <w:spacing w:after="0" w:line="57" w:lineRule="atLeast"/>
              <w:jc w:val="center"/>
            </w:pPr>
            <w:r>
              <w:rPr>
                <w:rFonts w:cs="Calibri"/>
                <w:color w:val="000000"/>
              </w:rPr>
              <w:t>4</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6D349B0" w14:textId="77777777" w:rsidR="001323B3" w:rsidRDefault="007434DA">
            <w:pPr>
              <w:spacing w:after="0" w:line="57" w:lineRule="atLeast"/>
              <w:jc w:val="center"/>
            </w:pPr>
            <w:r>
              <w:rPr>
                <w:rFonts w:cs="Calibri"/>
                <w:color w:val="000000"/>
              </w:rPr>
              <w:t>1</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2BEB14B" w14:textId="77777777" w:rsidR="001323B3" w:rsidRDefault="007434DA">
            <w:pPr>
              <w:spacing w:after="0" w:line="57" w:lineRule="atLeast"/>
              <w:jc w:val="center"/>
            </w:pPr>
            <w:r>
              <w:rPr>
                <w:rFonts w:cs="Calibri"/>
                <w:color w:val="000000"/>
              </w:rPr>
              <w:t>2</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8A4413F" w14:textId="77777777" w:rsidR="001323B3" w:rsidRDefault="007434DA">
            <w:pPr>
              <w:spacing w:after="0" w:line="57" w:lineRule="atLeast"/>
              <w:jc w:val="center"/>
            </w:pPr>
            <w:r>
              <w:rPr>
                <w:rFonts w:cs="Calibri"/>
                <w:color w:val="000000"/>
              </w:rPr>
              <w:t>3</w:t>
            </w:r>
          </w:p>
        </w:tc>
        <w:tc>
          <w:tcPr>
            <w:tcW w:w="354" w:type="dxa"/>
            <w:tcBorders>
              <w:top w:val="single" w:sz="6"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067CDCE" w14:textId="77777777" w:rsidR="001323B3" w:rsidRDefault="007434DA">
            <w:pPr>
              <w:spacing w:after="0" w:line="57" w:lineRule="atLeast"/>
              <w:jc w:val="center"/>
            </w:pPr>
            <w:r>
              <w:rPr>
                <w:rFonts w:cs="Calibri"/>
                <w:color w:val="000000"/>
              </w:rPr>
              <w:t>4</w:t>
            </w:r>
          </w:p>
        </w:tc>
      </w:tr>
      <w:tr w:rsidR="001323B3" w14:paraId="5608BB4D"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818B1BE" w14:textId="77777777" w:rsidR="001323B3" w:rsidRDefault="007434DA">
            <w:pPr>
              <w:spacing w:after="0" w:line="57" w:lineRule="atLeast"/>
            </w:pPr>
            <w:r>
              <w:rPr>
                <w:rFonts w:cs="Calibri"/>
                <w:color w:val="000000"/>
              </w:rPr>
              <w:t>Etat de l'art, bibliographie</w:t>
            </w:r>
          </w:p>
        </w:tc>
        <w:tc>
          <w:tcPr>
            <w:tcW w:w="354" w:type="dxa"/>
            <w:tcBorders>
              <w:top w:val="none" w:sz="4" w:space="0" w:color="000000"/>
              <w:left w:val="none" w:sz="4" w:space="0" w:color="000000"/>
              <w:bottom w:val="single" w:sz="6" w:space="0" w:color="000000"/>
              <w:right w:val="single" w:sz="6" w:space="0" w:color="000000"/>
            </w:tcBorders>
            <w:shd w:val="clear" w:color="FCE4D6" w:fill="FCE4D6"/>
            <w:noWrap/>
            <w:tcMar>
              <w:top w:w="15" w:type="dxa"/>
              <w:left w:w="15" w:type="dxa"/>
              <w:bottom w:w="0" w:type="dxa"/>
              <w:right w:w="15" w:type="dxa"/>
            </w:tcMar>
            <w:vAlign w:val="bottom"/>
          </w:tcPr>
          <w:p w14:paraId="1667AC2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CE4D6" w:fill="FCE4D6"/>
            <w:noWrap/>
            <w:tcMar>
              <w:top w:w="15" w:type="dxa"/>
              <w:left w:w="15" w:type="dxa"/>
              <w:bottom w:w="0" w:type="dxa"/>
              <w:right w:w="15" w:type="dxa"/>
            </w:tcMar>
            <w:vAlign w:val="bottom"/>
          </w:tcPr>
          <w:p w14:paraId="22441DC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A36107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722642B"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D69B5A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B6A1D5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0F42E1B"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2998EB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803B75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19DC12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C06D9C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DDD18AE" w14:textId="77777777" w:rsidR="001323B3" w:rsidRDefault="007434DA">
            <w:pPr>
              <w:spacing w:after="0" w:line="57" w:lineRule="atLeast"/>
            </w:pPr>
            <w:r>
              <w:rPr>
                <w:rFonts w:cs="Calibri"/>
                <w:color w:val="000000"/>
              </w:rPr>
              <w:t> </w:t>
            </w:r>
          </w:p>
        </w:tc>
      </w:tr>
      <w:tr w:rsidR="001323B3" w14:paraId="6790D814"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8066EFD" w14:textId="77777777" w:rsidR="001323B3" w:rsidRDefault="007434DA">
            <w:pPr>
              <w:spacing w:after="0" w:line="57" w:lineRule="atLeast"/>
            </w:pPr>
            <w:r>
              <w:rPr>
                <w:rFonts w:cs="Calibri"/>
                <w:color w:val="000000"/>
              </w:rPr>
              <w:t>Prise en main des modèles</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9DC969C"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8CBAD" w:fill="F8CBAD"/>
            <w:noWrap/>
            <w:tcMar>
              <w:top w:w="15" w:type="dxa"/>
              <w:left w:w="15" w:type="dxa"/>
              <w:bottom w:w="0" w:type="dxa"/>
              <w:right w:w="15" w:type="dxa"/>
            </w:tcMar>
            <w:vAlign w:val="bottom"/>
          </w:tcPr>
          <w:p w14:paraId="3E8AA91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8CBAD" w:fill="F8CBAD"/>
            <w:noWrap/>
            <w:tcMar>
              <w:top w:w="15" w:type="dxa"/>
              <w:left w:w="15" w:type="dxa"/>
              <w:bottom w:w="0" w:type="dxa"/>
              <w:right w:w="15" w:type="dxa"/>
            </w:tcMar>
            <w:vAlign w:val="bottom"/>
          </w:tcPr>
          <w:p w14:paraId="688525E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70BED4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F99A46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44458A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D0923A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2A8BD1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E6B00E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A0DBCA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C0B821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089F536" w14:textId="77777777" w:rsidR="001323B3" w:rsidRDefault="007434DA">
            <w:pPr>
              <w:spacing w:after="0" w:line="57" w:lineRule="atLeast"/>
            </w:pPr>
            <w:r>
              <w:rPr>
                <w:rFonts w:cs="Calibri"/>
                <w:color w:val="000000"/>
              </w:rPr>
              <w:t> </w:t>
            </w:r>
          </w:p>
        </w:tc>
      </w:tr>
      <w:tr w:rsidR="001323B3" w14:paraId="3A8310C8"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ABE71B3" w14:textId="77777777" w:rsidR="001323B3" w:rsidRDefault="007434DA">
            <w:pPr>
              <w:spacing w:after="0" w:line="57" w:lineRule="atLeast"/>
            </w:pPr>
            <w:r>
              <w:rPr>
                <w:rFonts w:cs="Calibri"/>
                <w:color w:val="000000"/>
              </w:rPr>
              <w:t>Développements numériques</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71CB23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2EE188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4B084" w:fill="F4B084"/>
            <w:noWrap/>
            <w:tcMar>
              <w:top w:w="15" w:type="dxa"/>
              <w:left w:w="15" w:type="dxa"/>
              <w:bottom w:w="0" w:type="dxa"/>
              <w:right w:w="15" w:type="dxa"/>
            </w:tcMar>
            <w:vAlign w:val="bottom"/>
          </w:tcPr>
          <w:p w14:paraId="632F315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4B084" w:fill="F4B084"/>
            <w:noWrap/>
            <w:tcMar>
              <w:top w:w="15" w:type="dxa"/>
              <w:left w:w="15" w:type="dxa"/>
              <w:bottom w:w="0" w:type="dxa"/>
              <w:right w:w="15" w:type="dxa"/>
            </w:tcMar>
            <w:vAlign w:val="bottom"/>
          </w:tcPr>
          <w:p w14:paraId="2484584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4B084" w:fill="F4B084"/>
            <w:noWrap/>
            <w:tcMar>
              <w:top w:w="15" w:type="dxa"/>
              <w:left w:w="15" w:type="dxa"/>
              <w:bottom w:w="0" w:type="dxa"/>
              <w:right w:w="15" w:type="dxa"/>
            </w:tcMar>
            <w:vAlign w:val="bottom"/>
          </w:tcPr>
          <w:p w14:paraId="043A8F4E"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4B084" w:fill="F4B084"/>
            <w:noWrap/>
            <w:tcMar>
              <w:top w:w="15" w:type="dxa"/>
              <w:left w:w="15" w:type="dxa"/>
              <w:bottom w:w="0" w:type="dxa"/>
              <w:right w:w="15" w:type="dxa"/>
            </w:tcMar>
            <w:vAlign w:val="bottom"/>
          </w:tcPr>
          <w:p w14:paraId="5598671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2B6FF2B"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1680876"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F1969AA"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CF76D9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B33CA4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CE36412" w14:textId="77777777" w:rsidR="001323B3" w:rsidRDefault="007434DA">
            <w:pPr>
              <w:spacing w:after="0" w:line="57" w:lineRule="atLeast"/>
            </w:pPr>
            <w:r>
              <w:rPr>
                <w:rFonts w:cs="Calibri"/>
                <w:color w:val="000000"/>
              </w:rPr>
              <w:t> </w:t>
            </w:r>
          </w:p>
        </w:tc>
      </w:tr>
      <w:tr w:rsidR="001323B3" w14:paraId="5D12F2F0"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127A771" w14:textId="77777777" w:rsidR="001323B3" w:rsidRDefault="007434DA">
            <w:pPr>
              <w:spacing w:after="0" w:line="57" w:lineRule="atLeast"/>
            </w:pPr>
            <w:r>
              <w:rPr>
                <w:rFonts w:cs="Calibri"/>
                <w:color w:val="000000"/>
              </w:rPr>
              <w:t>Recueil de données</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94F6B4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6D3325F"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C65911" w:fill="C65911"/>
            <w:noWrap/>
            <w:tcMar>
              <w:top w:w="15" w:type="dxa"/>
              <w:left w:w="15" w:type="dxa"/>
              <w:bottom w:w="0" w:type="dxa"/>
              <w:right w:w="15" w:type="dxa"/>
            </w:tcMar>
            <w:vAlign w:val="bottom"/>
          </w:tcPr>
          <w:p w14:paraId="1F404D8A"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C65911" w:fill="C65911"/>
            <w:noWrap/>
            <w:tcMar>
              <w:top w:w="15" w:type="dxa"/>
              <w:left w:w="15" w:type="dxa"/>
              <w:bottom w:w="0" w:type="dxa"/>
              <w:right w:w="15" w:type="dxa"/>
            </w:tcMar>
            <w:vAlign w:val="bottom"/>
          </w:tcPr>
          <w:p w14:paraId="00EB77AF"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C65911" w:fill="C65911"/>
            <w:noWrap/>
            <w:tcMar>
              <w:top w:w="15" w:type="dxa"/>
              <w:left w:w="15" w:type="dxa"/>
              <w:bottom w:w="0" w:type="dxa"/>
              <w:right w:w="15" w:type="dxa"/>
            </w:tcMar>
            <w:vAlign w:val="bottom"/>
          </w:tcPr>
          <w:p w14:paraId="645B322A"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C65911" w:fill="C65911"/>
            <w:noWrap/>
            <w:tcMar>
              <w:top w:w="15" w:type="dxa"/>
              <w:left w:w="15" w:type="dxa"/>
              <w:bottom w:w="0" w:type="dxa"/>
              <w:right w:w="15" w:type="dxa"/>
            </w:tcMar>
            <w:vAlign w:val="bottom"/>
          </w:tcPr>
          <w:p w14:paraId="19A05AF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7CD7AC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0EC437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2E4186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388CC6E"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2178DD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CA8A6C7" w14:textId="77777777" w:rsidR="001323B3" w:rsidRDefault="007434DA">
            <w:pPr>
              <w:spacing w:after="0" w:line="57" w:lineRule="atLeast"/>
            </w:pPr>
            <w:r>
              <w:rPr>
                <w:rFonts w:cs="Calibri"/>
                <w:color w:val="000000"/>
              </w:rPr>
              <w:t> </w:t>
            </w:r>
          </w:p>
        </w:tc>
      </w:tr>
      <w:tr w:rsidR="001323B3" w14:paraId="3E23C803"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AFEC870" w14:textId="77777777" w:rsidR="001323B3" w:rsidRDefault="007434DA">
            <w:pPr>
              <w:spacing w:after="0" w:line="57" w:lineRule="atLeast"/>
            </w:pPr>
            <w:r>
              <w:rPr>
                <w:rFonts w:cs="Calibri"/>
                <w:color w:val="000000"/>
              </w:rPr>
              <w:t>Paramétrisation, validation</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B5C561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05E9ACE"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8656F0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6616776"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33C0C" w:fill="833C0C"/>
            <w:noWrap/>
            <w:tcMar>
              <w:top w:w="15" w:type="dxa"/>
              <w:left w:w="15" w:type="dxa"/>
              <w:bottom w:w="0" w:type="dxa"/>
              <w:right w:w="15" w:type="dxa"/>
            </w:tcMar>
            <w:vAlign w:val="bottom"/>
          </w:tcPr>
          <w:p w14:paraId="11CB152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33C0C" w:fill="833C0C"/>
            <w:noWrap/>
            <w:tcMar>
              <w:top w:w="15" w:type="dxa"/>
              <w:left w:w="15" w:type="dxa"/>
              <w:bottom w:w="0" w:type="dxa"/>
              <w:right w:w="15" w:type="dxa"/>
            </w:tcMar>
            <w:vAlign w:val="bottom"/>
          </w:tcPr>
          <w:p w14:paraId="36F63ED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33C0C" w:fill="833C0C"/>
            <w:noWrap/>
            <w:tcMar>
              <w:top w:w="15" w:type="dxa"/>
              <w:left w:w="15" w:type="dxa"/>
              <w:bottom w:w="0" w:type="dxa"/>
              <w:right w:w="15" w:type="dxa"/>
            </w:tcMar>
            <w:vAlign w:val="bottom"/>
          </w:tcPr>
          <w:p w14:paraId="1FD4E21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33C0C" w:fill="833C0C"/>
            <w:noWrap/>
            <w:tcMar>
              <w:top w:w="15" w:type="dxa"/>
              <w:left w:w="15" w:type="dxa"/>
              <w:bottom w:w="0" w:type="dxa"/>
              <w:right w:w="15" w:type="dxa"/>
            </w:tcMar>
            <w:vAlign w:val="bottom"/>
          </w:tcPr>
          <w:p w14:paraId="44F28A76"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7B69F3E"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407E73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E3DECB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8AF0A1E" w14:textId="77777777" w:rsidR="001323B3" w:rsidRDefault="007434DA">
            <w:pPr>
              <w:spacing w:after="0" w:line="57" w:lineRule="atLeast"/>
            </w:pPr>
            <w:r>
              <w:rPr>
                <w:rFonts w:cs="Calibri"/>
                <w:color w:val="000000"/>
              </w:rPr>
              <w:t> </w:t>
            </w:r>
          </w:p>
        </w:tc>
      </w:tr>
      <w:tr w:rsidR="001323B3" w14:paraId="430F8800"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DBCEDE2" w14:textId="77777777" w:rsidR="001323B3" w:rsidRDefault="007434DA">
            <w:pPr>
              <w:spacing w:after="0" w:line="57" w:lineRule="atLeast"/>
            </w:pPr>
            <w:r>
              <w:rPr>
                <w:rFonts w:cs="Calibri"/>
                <w:color w:val="000000"/>
              </w:rPr>
              <w:t>Plan de simulation</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3FEEC4A"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5BBB00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3C5C813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3D4F27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B66ABE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CDC98C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06000" w:fill="806000"/>
            <w:noWrap/>
            <w:tcMar>
              <w:top w:w="15" w:type="dxa"/>
              <w:left w:w="15" w:type="dxa"/>
              <w:bottom w:w="0" w:type="dxa"/>
              <w:right w:w="15" w:type="dxa"/>
            </w:tcMar>
            <w:vAlign w:val="bottom"/>
          </w:tcPr>
          <w:p w14:paraId="05DCD89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806000" w:fill="806000"/>
            <w:noWrap/>
            <w:tcMar>
              <w:top w:w="15" w:type="dxa"/>
              <w:left w:w="15" w:type="dxa"/>
              <w:bottom w:w="0" w:type="dxa"/>
              <w:right w:w="15" w:type="dxa"/>
            </w:tcMar>
            <w:vAlign w:val="bottom"/>
          </w:tcPr>
          <w:p w14:paraId="046CEBDA"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1A0AE0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C407C2F"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0E901C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5F5D596" w14:textId="77777777" w:rsidR="001323B3" w:rsidRDefault="007434DA">
            <w:pPr>
              <w:spacing w:after="0" w:line="57" w:lineRule="atLeast"/>
            </w:pPr>
            <w:r>
              <w:rPr>
                <w:rFonts w:cs="Calibri"/>
                <w:color w:val="000000"/>
              </w:rPr>
              <w:t> </w:t>
            </w:r>
          </w:p>
        </w:tc>
      </w:tr>
      <w:tr w:rsidR="001323B3" w14:paraId="1C717658"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5E1494A" w14:textId="77777777" w:rsidR="001323B3" w:rsidRDefault="007434DA">
            <w:pPr>
              <w:spacing w:after="0" w:line="57" w:lineRule="atLeast"/>
            </w:pPr>
            <w:r>
              <w:rPr>
                <w:rFonts w:cs="Calibri"/>
                <w:color w:val="000000"/>
              </w:rPr>
              <w:t>Simulations</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EC57BF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930A126"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9A2E52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93CF0EB"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1F3174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5CFCEB6"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BF8F00" w:fill="BF8F00"/>
            <w:noWrap/>
            <w:tcMar>
              <w:top w:w="15" w:type="dxa"/>
              <w:left w:w="15" w:type="dxa"/>
              <w:bottom w:w="0" w:type="dxa"/>
              <w:right w:w="15" w:type="dxa"/>
            </w:tcMar>
            <w:vAlign w:val="bottom"/>
          </w:tcPr>
          <w:p w14:paraId="7039FB8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BF8F00" w:fill="BF8F00"/>
            <w:noWrap/>
            <w:tcMar>
              <w:top w:w="15" w:type="dxa"/>
              <w:left w:w="15" w:type="dxa"/>
              <w:bottom w:w="0" w:type="dxa"/>
              <w:right w:w="15" w:type="dxa"/>
            </w:tcMar>
            <w:vAlign w:val="bottom"/>
          </w:tcPr>
          <w:p w14:paraId="7B72571B"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BF8F00" w:fill="BF8F00"/>
            <w:noWrap/>
            <w:tcMar>
              <w:top w:w="15" w:type="dxa"/>
              <w:left w:w="15" w:type="dxa"/>
              <w:bottom w:w="0" w:type="dxa"/>
              <w:right w:w="15" w:type="dxa"/>
            </w:tcMar>
            <w:vAlign w:val="bottom"/>
          </w:tcPr>
          <w:p w14:paraId="6C849F8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BF8F00" w:fill="BF8F00"/>
            <w:noWrap/>
            <w:tcMar>
              <w:top w:w="15" w:type="dxa"/>
              <w:left w:w="15" w:type="dxa"/>
              <w:bottom w:w="0" w:type="dxa"/>
              <w:right w:w="15" w:type="dxa"/>
            </w:tcMar>
            <w:vAlign w:val="bottom"/>
          </w:tcPr>
          <w:p w14:paraId="36E87CC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007681D"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0731CC26" w14:textId="77777777" w:rsidR="001323B3" w:rsidRDefault="007434DA">
            <w:pPr>
              <w:spacing w:after="0" w:line="57" w:lineRule="atLeast"/>
            </w:pPr>
            <w:r>
              <w:rPr>
                <w:rFonts w:cs="Calibri"/>
                <w:color w:val="000000"/>
              </w:rPr>
              <w:t> </w:t>
            </w:r>
          </w:p>
        </w:tc>
      </w:tr>
      <w:tr w:rsidR="001323B3" w14:paraId="5DC2C507"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7D5CBB6" w14:textId="77777777" w:rsidR="001323B3" w:rsidRDefault="007434DA">
            <w:pPr>
              <w:spacing w:after="0" w:line="57" w:lineRule="atLeast"/>
            </w:pPr>
            <w:r>
              <w:rPr>
                <w:rFonts w:cs="Calibri"/>
                <w:color w:val="000000"/>
              </w:rPr>
              <w:t>Valorisation</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FF4D25E"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E37446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947FEC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A051C0F"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1126581"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9CD01F2"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8D072F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FD71D3D"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D966" w:fill="FFD966"/>
            <w:noWrap/>
            <w:tcMar>
              <w:top w:w="15" w:type="dxa"/>
              <w:left w:w="15" w:type="dxa"/>
              <w:bottom w:w="0" w:type="dxa"/>
              <w:right w:w="15" w:type="dxa"/>
            </w:tcMar>
            <w:vAlign w:val="bottom"/>
          </w:tcPr>
          <w:p w14:paraId="1A8966C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D966" w:fill="FFD966"/>
            <w:noWrap/>
            <w:tcMar>
              <w:top w:w="15" w:type="dxa"/>
              <w:left w:w="15" w:type="dxa"/>
              <w:bottom w:w="0" w:type="dxa"/>
              <w:right w:w="15" w:type="dxa"/>
            </w:tcMar>
            <w:vAlign w:val="bottom"/>
          </w:tcPr>
          <w:p w14:paraId="2438D44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D966" w:fill="FFD966"/>
            <w:noWrap/>
            <w:tcMar>
              <w:top w:w="15" w:type="dxa"/>
              <w:left w:w="15" w:type="dxa"/>
              <w:bottom w:w="0" w:type="dxa"/>
              <w:right w:w="15" w:type="dxa"/>
            </w:tcMar>
            <w:vAlign w:val="bottom"/>
          </w:tcPr>
          <w:p w14:paraId="3334AEE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D966" w:fill="FFD966"/>
            <w:noWrap/>
            <w:tcMar>
              <w:top w:w="15" w:type="dxa"/>
              <w:left w:w="15" w:type="dxa"/>
              <w:bottom w:w="0" w:type="dxa"/>
              <w:right w:w="15" w:type="dxa"/>
            </w:tcMar>
            <w:vAlign w:val="bottom"/>
          </w:tcPr>
          <w:p w14:paraId="0726276A" w14:textId="77777777" w:rsidR="001323B3" w:rsidRDefault="007434DA">
            <w:pPr>
              <w:spacing w:after="0" w:line="57" w:lineRule="atLeast"/>
            </w:pPr>
            <w:r>
              <w:rPr>
                <w:rFonts w:cs="Calibri"/>
                <w:color w:val="000000"/>
              </w:rPr>
              <w:t> </w:t>
            </w:r>
          </w:p>
        </w:tc>
      </w:tr>
      <w:tr w:rsidR="001323B3" w14:paraId="7EE9EC7D" w14:textId="77777777">
        <w:trPr>
          <w:trHeight w:val="300"/>
          <w:jc w:val="center"/>
        </w:trPr>
        <w:tc>
          <w:tcPr>
            <w:tcW w:w="2874" w:type="dxa"/>
            <w:tcBorders>
              <w:top w:val="none" w:sz="4"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40D8E3D" w14:textId="77777777" w:rsidR="001323B3" w:rsidRDefault="007434DA">
            <w:pPr>
              <w:spacing w:after="0" w:line="57" w:lineRule="atLeast"/>
            </w:pPr>
            <w:r>
              <w:rPr>
                <w:rFonts w:cs="Calibri"/>
                <w:color w:val="000000"/>
              </w:rPr>
              <w:t>Rédaction de la thèse</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71674D4"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638CCB7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2B66AE5C"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D3BCB40"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19F12933"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53C63FED"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778F3BFD"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tcPr>
          <w:p w14:paraId="4CFD5165"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E699" w:fill="FFE699"/>
            <w:noWrap/>
            <w:tcMar>
              <w:top w:w="15" w:type="dxa"/>
              <w:left w:w="15" w:type="dxa"/>
              <w:bottom w:w="0" w:type="dxa"/>
              <w:right w:w="15" w:type="dxa"/>
            </w:tcMar>
            <w:vAlign w:val="bottom"/>
          </w:tcPr>
          <w:p w14:paraId="2D286C87"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E699" w:fill="FFE699"/>
            <w:noWrap/>
            <w:tcMar>
              <w:top w:w="15" w:type="dxa"/>
              <w:left w:w="15" w:type="dxa"/>
              <w:bottom w:w="0" w:type="dxa"/>
              <w:right w:w="15" w:type="dxa"/>
            </w:tcMar>
            <w:vAlign w:val="bottom"/>
          </w:tcPr>
          <w:p w14:paraId="02D852E9"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E699" w:fill="FFE699"/>
            <w:noWrap/>
            <w:tcMar>
              <w:top w:w="15" w:type="dxa"/>
              <w:left w:w="15" w:type="dxa"/>
              <w:bottom w:w="0" w:type="dxa"/>
              <w:right w:w="15" w:type="dxa"/>
            </w:tcMar>
            <w:vAlign w:val="bottom"/>
          </w:tcPr>
          <w:p w14:paraId="3FF15C48" w14:textId="77777777" w:rsidR="001323B3" w:rsidRDefault="007434DA">
            <w:pPr>
              <w:spacing w:after="0" w:line="57" w:lineRule="atLeast"/>
            </w:pPr>
            <w:r>
              <w:rPr>
                <w:rFonts w:cs="Calibri"/>
                <w:color w:val="000000"/>
              </w:rPr>
              <w:t> </w:t>
            </w:r>
          </w:p>
        </w:tc>
        <w:tc>
          <w:tcPr>
            <w:tcW w:w="354" w:type="dxa"/>
            <w:tcBorders>
              <w:top w:val="none" w:sz="4" w:space="0" w:color="000000"/>
              <w:left w:val="none" w:sz="4" w:space="0" w:color="000000"/>
              <w:bottom w:val="single" w:sz="6" w:space="0" w:color="000000"/>
              <w:right w:val="single" w:sz="6" w:space="0" w:color="000000"/>
            </w:tcBorders>
            <w:shd w:val="clear" w:color="FFE699" w:fill="FFE699"/>
            <w:noWrap/>
            <w:tcMar>
              <w:top w:w="15" w:type="dxa"/>
              <w:left w:w="15" w:type="dxa"/>
              <w:bottom w:w="0" w:type="dxa"/>
              <w:right w:w="15" w:type="dxa"/>
            </w:tcMar>
            <w:vAlign w:val="bottom"/>
          </w:tcPr>
          <w:p w14:paraId="296E135F" w14:textId="77777777" w:rsidR="001323B3" w:rsidRDefault="007434DA">
            <w:pPr>
              <w:spacing w:after="0" w:line="57" w:lineRule="atLeast"/>
            </w:pPr>
            <w:r>
              <w:rPr>
                <w:rFonts w:cs="Calibri"/>
                <w:color w:val="000000"/>
              </w:rPr>
              <w:t> </w:t>
            </w:r>
          </w:p>
        </w:tc>
      </w:tr>
    </w:tbl>
    <w:p w14:paraId="6F227477"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A noter que le doctorant pourra disposer des données récoltées sur différentes parcelles expérimentales</w:t>
      </w:r>
      <w:r>
        <w:t xml:space="preserve"> depuis de nombreuses années ce qui est un élément de crédibilité pour le paramétrage et la validation du modèle.</w:t>
      </w:r>
    </w:p>
    <w:p w14:paraId="17DAD937" w14:textId="77777777" w:rsidR="001323B3" w:rsidRDefault="001323B3">
      <w:pPr>
        <w:spacing w:before="160"/>
        <w:rPr>
          <w:sz w:val="4"/>
          <w:szCs w:val="4"/>
        </w:rPr>
      </w:pPr>
    </w:p>
    <w:p w14:paraId="41CBE0AE" w14:textId="77777777" w:rsidR="001323B3" w:rsidRDefault="007434DA">
      <w:pPr>
        <w:pBdr>
          <w:top w:val="single" w:sz="4" w:space="1" w:color="auto"/>
          <w:left w:val="single" w:sz="4" w:space="4" w:color="auto"/>
          <w:bottom w:val="single" w:sz="4" w:space="1" w:color="auto"/>
          <w:right w:val="single" w:sz="4" w:space="4" w:color="auto"/>
        </w:pBdr>
        <w:spacing w:before="160"/>
      </w:pPr>
      <w:r>
        <w:rPr>
          <w:b/>
        </w:rPr>
        <w:t>Compétences et formation requises</w:t>
      </w:r>
    </w:p>
    <w:p w14:paraId="45775AE9"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Le ou la doctorant(e) doit être titulaire d’un diplôme de Master de Recherche 2 ou d’un diplôme d’ingénieur. Il devra posséder des connaissances en écophysiologie et écologie végétale, voire en agronomie. Une première expérience en modélisation et un goût pour les analyses statistiques (avec la maîtrise du logiciel R) sont aussi requis pour mener à bien ce projet pluridisciplinaire. Curieux (se), rigoureux (se), organisé(e) et capable de travailler en équipe, le/la doctorant(e) devra s’impliquer dans des an</w:t>
      </w:r>
      <w:r>
        <w:t>alyses de terrain.</w:t>
      </w:r>
    </w:p>
    <w:p w14:paraId="0EE78579" w14:textId="77777777" w:rsidR="001323B3" w:rsidRDefault="007434DA">
      <w:pPr>
        <w:pBdr>
          <w:top w:val="single" w:sz="4" w:space="1" w:color="auto"/>
          <w:left w:val="single" w:sz="4" w:space="4" w:color="auto"/>
          <w:bottom w:val="single" w:sz="4" w:space="1" w:color="auto"/>
          <w:right w:val="single" w:sz="4" w:space="4" w:color="auto"/>
        </w:pBdr>
        <w:spacing w:before="160"/>
      </w:pPr>
      <w:r>
        <w:rPr>
          <w:b/>
        </w:rPr>
        <w:t>Candidatures et modalités de recrutement</w:t>
      </w:r>
    </w:p>
    <w:p w14:paraId="62F82ADA"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Le/la candidat(e) sera inscrit à l’ED SVEA de l’université Clermont-Auvergne (UCA) pour les 3 ans de la</w:t>
      </w:r>
    </w:p>
    <w:p w14:paraId="6590DA5D"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proofErr w:type="gramStart"/>
      <w:r>
        <w:t>thèse</w:t>
      </w:r>
      <w:proofErr w:type="gramEnd"/>
      <w:r>
        <w:t xml:space="preserve">. Le financement du contrat doctoral est acquis (UCA- </w:t>
      </w:r>
      <w:proofErr w:type="spellStart"/>
      <w:r>
        <w:t>Isite</w:t>
      </w:r>
      <w:proofErr w:type="spellEnd"/>
      <w:r>
        <w:t xml:space="preserve"> CAP20-25).</w:t>
      </w:r>
    </w:p>
    <w:p w14:paraId="01161494"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Début de la thèse souhaité : entre octobre et décembre 2024 pour une durée de 3 ans</w:t>
      </w:r>
    </w:p>
    <w:p w14:paraId="47202FBB"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 xml:space="preserve">Unité de rattachement : UMR </w:t>
      </w:r>
      <w:proofErr w:type="gramStart"/>
      <w:r>
        <w:t>547  PIAF</w:t>
      </w:r>
      <w:proofErr w:type="gramEnd"/>
      <w:r>
        <w:t xml:space="preserve"> (UCA-INRAE) ; l’unité est localisée sur 2 sites, l’un sur le</w:t>
      </w:r>
    </w:p>
    <w:p w14:paraId="38D3FB17"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proofErr w:type="gramStart"/>
      <w:r>
        <w:t>campus</w:t>
      </w:r>
      <w:proofErr w:type="gramEnd"/>
      <w:r>
        <w:t xml:space="preserve"> universitaire des </w:t>
      </w:r>
      <w:proofErr w:type="spellStart"/>
      <w:r>
        <w:t>Cézeaux</w:t>
      </w:r>
      <w:proofErr w:type="spellEnd"/>
      <w:r>
        <w:t xml:space="preserve"> (Aubière) et l’autre sur le site INRAE de </w:t>
      </w:r>
      <w:proofErr w:type="spellStart"/>
      <w:r>
        <w:t>Crouël</w:t>
      </w:r>
      <w:proofErr w:type="spellEnd"/>
      <w:r>
        <w:t xml:space="preserve"> (Clermont-Ferrand).</w:t>
      </w:r>
    </w:p>
    <w:p w14:paraId="375484B6"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La thèse se déroulera sur ce dernier.</w:t>
      </w:r>
    </w:p>
    <w:p w14:paraId="40740E69"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pPr>
      <w:r>
        <w:t>Directeur, co-directeur et encadrant de thèse : Philippe Malagoli (MCU-HDR, UCA), Philippe Balandier (DR-HDR, INRAE) &amp; Marc Saudreau (CR-HDR, INRAE).</w:t>
      </w:r>
    </w:p>
    <w:p w14:paraId="3F59B93F" w14:textId="77777777" w:rsidR="001323B3" w:rsidRDefault="007434DA">
      <w:pPr>
        <w:pBdr>
          <w:top w:val="single" w:sz="4" w:space="0" w:color="000000"/>
          <w:left w:val="single" w:sz="4" w:space="3" w:color="000000"/>
          <w:bottom w:val="single" w:sz="4" w:space="0" w:color="000000"/>
          <w:right w:val="single" w:sz="4" w:space="3" w:color="000000"/>
        </w:pBdr>
        <w:spacing w:before="160"/>
        <w:jc w:val="both"/>
        <w:sectPr w:rsidR="001323B3">
          <w:pgSz w:w="11906" w:h="16838"/>
          <w:pgMar w:top="1417" w:right="1417" w:bottom="1417" w:left="1417" w:header="708" w:footer="708" w:gutter="0"/>
          <w:cols w:space="708"/>
          <w:docGrid w:linePitch="360"/>
        </w:sectPr>
      </w:pPr>
      <w:r>
        <w:t xml:space="preserve">Candidature à adresser par mail [lettre de motivation + CV ; noms et mail pour lettres de recommandation ; les relevés de notes de M1 et M2] à </w:t>
      </w:r>
      <w:hyperlink r:id="rId14" w:tooltip="mailto:philippe.malagoli@uca.fr" w:history="1">
        <w:r>
          <w:rPr>
            <w:rStyle w:val="Lienhypertexte"/>
          </w:rPr>
          <w:t>philippe.malagoli@uca.fr</w:t>
        </w:r>
      </w:hyperlink>
      <w:r>
        <w:t xml:space="preserve"> et </w:t>
      </w:r>
      <w:hyperlink r:id="rId15" w:tooltip="mailto:philippe.balandier@inrae.fr" w:history="1">
        <w:r>
          <w:rPr>
            <w:rStyle w:val="Lienhypertexte"/>
          </w:rPr>
          <w:t>philippe.balandier@inrae.fr</w:t>
        </w:r>
      </w:hyperlink>
      <w:r>
        <w:t xml:space="preserve">  jusqu’au 01 juillet 2024.</w:t>
      </w:r>
    </w:p>
    <w:p w14:paraId="70247D53" w14:textId="77777777" w:rsidR="001323B3" w:rsidRDefault="001323B3">
      <w:pPr>
        <w:spacing w:before="160"/>
        <w:rPr>
          <w:sz w:val="4"/>
          <w:szCs w:val="4"/>
        </w:rPr>
      </w:pPr>
    </w:p>
    <w:p w14:paraId="42E8D861" w14:textId="77777777" w:rsidR="001323B3" w:rsidRDefault="007434DA">
      <w:pPr>
        <w:pBdr>
          <w:top w:val="single" w:sz="4" w:space="1" w:color="auto"/>
          <w:left w:val="single" w:sz="4" w:space="4" w:color="auto"/>
          <w:bottom w:val="single" w:sz="4" w:space="1" w:color="auto"/>
          <w:right w:val="single" w:sz="4" w:space="4" w:color="auto"/>
        </w:pBdr>
        <w:spacing w:before="160"/>
      </w:pPr>
      <w:r>
        <w:rPr>
          <w:b/>
        </w:rPr>
        <w:t>Références/Bibliographie indicative</w:t>
      </w:r>
      <w:r>
        <w:t> :</w:t>
      </w:r>
    </w:p>
    <w:p w14:paraId="79C1EB8F" w14:textId="77777777" w:rsidR="001323B3" w:rsidRDefault="007434DA">
      <w:pPr>
        <w:spacing w:after="0" w:line="240" w:lineRule="auto"/>
        <w:ind w:left="720" w:hanging="720"/>
        <w:jc w:val="both"/>
        <w:rPr>
          <w:rFonts w:cs="Calibri"/>
          <w:lang w:val="en-US"/>
        </w:rPr>
      </w:pPr>
      <w:r>
        <w:rPr>
          <w:rFonts w:cs="Calibri"/>
          <w:b/>
        </w:rPr>
        <w:t>Balandier P., Bergez J.E., Etienne M., 2003.</w:t>
      </w:r>
      <w:r>
        <w:rPr>
          <w:rFonts w:ascii="Arial" w:eastAsia="Arial" w:hAnsi="Arial" w:cs="Arial"/>
          <w:color w:val="000000"/>
        </w:rPr>
        <w:t xml:space="preserve"> </w:t>
      </w:r>
      <w:r>
        <w:rPr>
          <w:rFonts w:cs="Calibri"/>
          <w:lang w:val="en-GB"/>
        </w:rPr>
        <w:t xml:space="preserve">Use of the management-oriented </w:t>
      </w:r>
      <w:proofErr w:type="spellStart"/>
      <w:r>
        <w:rPr>
          <w:rFonts w:cs="Calibri"/>
          <w:lang w:val="en-GB"/>
        </w:rPr>
        <w:t>silvopastoral</w:t>
      </w:r>
      <w:proofErr w:type="spellEnd"/>
      <w:r>
        <w:rPr>
          <w:rFonts w:cs="Calibri"/>
          <w:lang w:val="en-GB"/>
        </w:rPr>
        <w:t xml:space="preserve"> model ALWAYS: calibration and evaluation. </w:t>
      </w:r>
      <w:r>
        <w:rPr>
          <w:rFonts w:cs="Calibri"/>
          <w:i/>
          <w:lang w:val="en-GB"/>
        </w:rPr>
        <w:t>Agroforestry Systems</w:t>
      </w:r>
      <w:r>
        <w:rPr>
          <w:rFonts w:cs="Calibri"/>
          <w:lang w:val="en-GB"/>
        </w:rPr>
        <w:t>, 57, 159-171.</w:t>
      </w:r>
    </w:p>
    <w:p w14:paraId="1F76C37D" w14:textId="77777777" w:rsidR="001323B3" w:rsidRDefault="007434DA">
      <w:pPr>
        <w:spacing w:after="0" w:line="240" w:lineRule="auto"/>
        <w:ind w:left="720" w:hanging="720"/>
        <w:jc w:val="both"/>
        <w:rPr>
          <w:lang w:val="en-US"/>
        </w:rPr>
      </w:pPr>
      <w:bookmarkStart w:id="0" w:name="_ENREF_1"/>
      <w:r>
        <w:rPr>
          <w:rFonts w:cs="Calibri"/>
          <w:b/>
          <w:lang w:val="en-GB"/>
        </w:rPr>
        <w:t>Balandier P, Collet C, Miller JH, Reynolds PE, Zedaker SM. 2006</w:t>
      </w:r>
      <w:r>
        <w:rPr>
          <w:rFonts w:cs="Calibri"/>
          <w:lang w:val="en-US"/>
        </w:rPr>
        <w:t xml:space="preserve">. Designing forest vegetation management strategies based on the mechanisms and dynamics of crop tree competition by </w:t>
      </w:r>
      <w:proofErr w:type="spellStart"/>
      <w:r>
        <w:rPr>
          <w:rFonts w:cs="Calibri"/>
          <w:lang w:val="en-US"/>
        </w:rPr>
        <w:t>neighbouring</w:t>
      </w:r>
      <w:proofErr w:type="spellEnd"/>
      <w:r>
        <w:rPr>
          <w:rFonts w:cs="Calibri"/>
          <w:lang w:val="en-US"/>
        </w:rPr>
        <w:t xml:space="preserve"> vegetation. </w:t>
      </w:r>
      <w:r>
        <w:rPr>
          <w:rFonts w:cs="Calibri"/>
          <w:i/>
          <w:lang w:val="en-US"/>
        </w:rPr>
        <w:t>Forestry,</w:t>
      </w:r>
      <w:r>
        <w:rPr>
          <w:rFonts w:cs="Calibri"/>
          <w:lang w:val="en-US"/>
        </w:rPr>
        <w:t xml:space="preserve"> </w:t>
      </w:r>
      <w:r>
        <w:rPr>
          <w:rFonts w:cs="Calibri"/>
          <w:b/>
          <w:lang w:val="en-US"/>
        </w:rPr>
        <w:t>79</w:t>
      </w:r>
      <w:r>
        <w:rPr>
          <w:rFonts w:cs="Calibri"/>
          <w:lang w:val="en-US"/>
        </w:rPr>
        <w:t>: 3-27.</w:t>
      </w:r>
      <w:bookmarkEnd w:id="0"/>
    </w:p>
    <w:p w14:paraId="2A3653AD" w14:textId="77777777" w:rsidR="001323B3" w:rsidRDefault="007434DA">
      <w:pPr>
        <w:spacing w:after="0" w:line="240" w:lineRule="auto"/>
        <w:ind w:left="720" w:hanging="720"/>
        <w:jc w:val="both"/>
        <w:rPr>
          <w:rFonts w:cs="Calibri"/>
        </w:rPr>
      </w:pPr>
      <w:bookmarkStart w:id="1" w:name="_ENREF_2"/>
      <w:r>
        <w:rPr>
          <w:rFonts w:cs="Calibri"/>
          <w:b/>
          <w:lang w:val="en-GB"/>
        </w:rPr>
        <w:t xml:space="preserve">Balandier P, </w:t>
      </w:r>
      <w:proofErr w:type="spellStart"/>
      <w:r>
        <w:rPr>
          <w:rFonts w:cs="Calibri"/>
          <w:b/>
          <w:lang w:val="en-GB"/>
        </w:rPr>
        <w:t>Sinoquet</w:t>
      </w:r>
      <w:proofErr w:type="spellEnd"/>
      <w:r>
        <w:rPr>
          <w:rFonts w:cs="Calibri"/>
          <w:b/>
          <w:lang w:val="en-GB"/>
        </w:rPr>
        <w:t xml:space="preserve"> H, Frak E, Giuliani R, Vandame M, Descamps S, Coll L, Adam B, </w:t>
      </w:r>
      <w:proofErr w:type="spellStart"/>
      <w:r>
        <w:rPr>
          <w:rFonts w:cs="Calibri"/>
          <w:b/>
          <w:lang w:val="en-GB"/>
        </w:rPr>
        <w:t>Prevosto</w:t>
      </w:r>
      <w:proofErr w:type="spellEnd"/>
      <w:r>
        <w:rPr>
          <w:rFonts w:cs="Calibri"/>
          <w:b/>
          <w:lang w:val="en-GB"/>
        </w:rPr>
        <w:t xml:space="preserve"> B, Curt T. 2007</w:t>
      </w:r>
      <w:r>
        <w:rPr>
          <w:rFonts w:cs="Calibri"/>
          <w:lang w:val="en-US"/>
        </w:rPr>
        <w:t xml:space="preserve">. </w:t>
      </w:r>
      <w:r>
        <w:rPr>
          <w:rFonts w:cs="Calibri"/>
          <w:lang w:val="en-GB"/>
        </w:rPr>
        <w:t xml:space="preserve">Six-year time course of light-use efficiency, carbon gain and growth of beech saplings (Fagus sylvatica) planted under a Scots pine (Pinus sylvestris) shelterwood. </w:t>
      </w:r>
      <w:proofErr w:type="spellStart"/>
      <w:r>
        <w:rPr>
          <w:rFonts w:cs="Calibri"/>
          <w:i/>
        </w:rPr>
        <w:t>Tree</w:t>
      </w:r>
      <w:proofErr w:type="spellEnd"/>
      <w:r>
        <w:rPr>
          <w:rFonts w:cs="Calibri"/>
          <w:i/>
        </w:rPr>
        <w:t xml:space="preserve"> </w:t>
      </w:r>
      <w:proofErr w:type="spellStart"/>
      <w:r>
        <w:rPr>
          <w:rFonts w:cs="Calibri"/>
          <w:i/>
        </w:rPr>
        <w:t>Physiology</w:t>
      </w:r>
      <w:proofErr w:type="spellEnd"/>
      <w:r>
        <w:rPr>
          <w:rFonts w:cs="Calibri"/>
        </w:rPr>
        <w:t xml:space="preserve">, </w:t>
      </w:r>
      <w:proofErr w:type="gramStart"/>
      <w:r>
        <w:rPr>
          <w:rFonts w:cs="Calibri"/>
        </w:rPr>
        <w:t>27:</w:t>
      </w:r>
      <w:proofErr w:type="gramEnd"/>
      <w:r>
        <w:rPr>
          <w:rFonts w:cs="Calibri"/>
        </w:rPr>
        <w:t xml:space="preserve"> 1073-1082.</w:t>
      </w:r>
      <w:bookmarkEnd w:id="1"/>
    </w:p>
    <w:p w14:paraId="0134CF58" w14:textId="77777777" w:rsidR="001323B3" w:rsidRDefault="007434DA">
      <w:pPr>
        <w:spacing w:after="0" w:line="240" w:lineRule="auto"/>
        <w:ind w:left="720" w:hanging="720"/>
        <w:jc w:val="both"/>
        <w:rPr>
          <w:lang w:val="en-US"/>
        </w:rPr>
      </w:pPr>
      <w:r>
        <w:rPr>
          <w:rFonts w:cs="Calibri"/>
          <w:b/>
        </w:rPr>
        <w:t xml:space="preserve">Balandier P., </w:t>
      </w:r>
      <w:proofErr w:type="spellStart"/>
      <w:r>
        <w:rPr>
          <w:rFonts w:cs="Calibri"/>
          <w:b/>
        </w:rPr>
        <w:t>Donès</w:t>
      </w:r>
      <w:proofErr w:type="spellEnd"/>
      <w:r>
        <w:rPr>
          <w:rFonts w:cs="Calibri"/>
          <w:b/>
        </w:rPr>
        <w:t xml:space="preserve"> N., Le Texier E., De Coligny F. 2013</w:t>
      </w:r>
      <w:r>
        <w:rPr>
          <w:rFonts w:ascii="Times New Roman" w:eastAsia="Times New Roman" w:hAnsi="Times New Roman"/>
          <w:color w:val="000000"/>
          <w:sz w:val="24"/>
        </w:rPr>
        <w:t xml:space="preserve">. </w:t>
      </w:r>
      <w:proofErr w:type="spellStart"/>
      <w:r>
        <w:rPr>
          <w:rFonts w:cs="Calibri"/>
          <w:lang w:val="en-GB"/>
        </w:rPr>
        <w:t>RReShar</w:t>
      </w:r>
      <w:proofErr w:type="spellEnd"/>
      <w:r>
        <w:rPr>
          <w:rFonts w:cs="Calibri"/>
          <w:lang w:val="en-GB"/>
        </w:rPr>
        <w:t>: a functional –structural forest model to simulate tree regeneration according to resources. ISEM 2013, Ecological Modelling for Ecosystem Sustainability. Toulouse, France, 2013/10/28-31.</w:t>
      </w:r>
    </w:p>
    <w:p w14:paraId="62031EFC" w14:textId="77777777" w:rsidR="001323B3" w:rsidRDefault="007434DA">
      <w:pPr>
        <w:pBdr>
          <w:top w:val="none" w:sz="4" w:space="0" w:color="000000"/>
          <w:left w:val="none" w:sz="4" w:space="0" w:color="000000"/>
          <w:bottom w:val="none" w:sz="4" w:space="0" w:color="000000"/>
          <w:right w:val="none" w:sz="4" w:space="0" w:color="000000"/>
        </w:pBdr>
        <w:spacing w:after="0"/>
        <w:ind w:left="709" w:hanging="709"/>
        <w:jc w:val="both"/>
        <w:rPr>
          <w:rFonts w:cs="Calibri"/>
          <w:lang w:val="en-GB"/>
        </w:rPr>
      </w:pPr>
      <w:r>
        <w:rPr>
          <w:rFonts w:cs="Calibri"/>
          <w:b/>
          <w:lang w:val="en-GB"/>
        </w:rPr>
        <w:t xml:space="preserve">Balandier P., Gobin R., </w:t>
      </w:r>
      <w:proofErr w:type="spellStart"/>
      <w:r>
        <w:rPr>
          <w:rFonts w:cs="Calibri"/>
          <w:b/>
          <w:lang w:val="en-GB"/>
        </w:rPr>
        <w:t>Prevosto</w:t>
      </w:r>
      <w:proofErr w:type="spellEnd"/>
      <w:r>
        <w:rPr>
          <w:rFonts w:cs="Calibri"/>
          <w:b/>
          <w:lang w:val="en-GB"/>
        </w:rPr>
        <w:t xml:space="preserve"> B., </w:t>
      </w:r>
      <w:proofErr w:type="spellStart"/>
      <w:r>
        <w:rPr>
          <w:rFonts w:cs="Calibri"/>
          <w:b/>
          <w:lang w:val="en-GB"/>
        </w:rPr>
        <w:t>Korboulewsky</w:t>
      </w:r>
      <w:proofErr w:type="spellEnd"/>
      <w:r>
        <w:rPr>
          <w:rFonts w:cs="Calibri"/>
          <w:b/>
          <w:lang w:val="en-GB"/>
        </w:rPr>
        <w:t xml:space="preserve"> N. 2022</w:t>
      </w:r>
      <w:r>
        <w:rPr>
          <w:rFonts w:ascii="Arial" w:eastAsia="Arial" w:hAnsi="Arial" w:cs="Arial"/>
          <w:color w:val="000000"/>
          <w:lang w:val="en-GB"/>
        </w:rPr>
        <w:t xml:space="preserve">. </w:t>
      </w:r>
      <w:r>
        <w:rPr>
          <w:rFonts w:cs="Calibri"/>
          <w:lang w:val="en-GB"/>
        </w:rPr>
        <w:t xml:space="preserve">The contribution of understorey vegetation to ecosystem evapotranspiration in boreal and temperate forests: a literature review and analysis. </w:t>
      </w:r>
      <w:r>
        <w:rPr>
          <w:rFonts w:cs="Calibri"/>
          <w:i/>
          <w:lang w:val="en-GB"/>
        </w:rPr>
        <w:t>European Journal of Forest Research</w:t>
      </w:r>
      <w:r>
        <w:rPr>
          <w:rFonts w:cs="Calibri"/>
          <w:lang w:val="en-GB"/>
        </w:rPr>
        <w:t xml:space="preserve">, 141, 979-997, </w:t>
      </w:r>
      <w:hyperlink r:id="rId16" w:tooltip="https://doi.org/10.1007/s10342-022-01505-0" w:history="1">
        <w:r>
          <w:rPr>
            <w:rFonts w:cs="Calibri"/>
            <w:lang w:val="en-GB"/>
          </w:rPr>
          <w:t>https://doi.org/10.1007/s10342-022-01505-0</w:t>
        </w:r>
      </w:hyperlink>
      <w:r>
        <w:rPr>
          <w:rFonts w:cs="Calibri"/>
          <w:lang w:val="en-GB"/>
        </w:rPr>
        <w:t>.</w:t>
      </w:r>
    </w:p>
    <w:p w14:paraId="2CC89658" w14:textId="77777777" w:rsidR="001323B3" w:rsidRDefault="007434DA">
      <w:pPr>
        <w:pBdr>
          <w:top w:val="none" w:sz="4" w:space="0" w:color="000000"/>
          <w:left w:val="none" w:sz="4" w:space="0" w:color="000000"/>
          <w:bottom w:val="none" w:sz="4" w:space="0" w:color="000000"/>
          <w:right w:val="none" w:sz="4" w:space="0" w:color="000000"/>
        </w:pBdr>
        <w:spacing w:after="0"/>
        <w:ind w:left="709" w:hanging="709"/>
        <w:jc w:val="both"/>
        <w:rPr>
          <w:rFonts w:cs="Calibri"/>
          <w:lang w:val="en-GB"/>
        </w:rPr>
      </w:pPr>
      <w:r>
        <w:rPr>
          <w:rFonts w:cs="Calibri"/>
          <w:b/>
          <w:lang w:val="en-GB"/>
        </w:rPr>
        <w:t xml:space="preserve">Balandier P., </w:t>
      </w:r>
      <w:proofErr w:type="spellStart"/>
      <w:r>
        <w:rPr>
          <w:rFonts w:cs="Calibri"/>
          <w:b/>
          <w:lang w:val="en-GB"/>
        </w:rPr>
        <w:t>Marrel</w:t>
      </w:r>
      <w:proofErr w:type="spellEnd"/>
      <w:r>
        <w:rPr>
          <w:rFonts w:cs="Calibri"/>
          <w:b/>
          <w:lang w:val="en-GB"/>
        </w:rPr>
        <w:t xml:space="preserve"> A., </w:t>
      </w:r>
      <w:proofErr w:type="spellStart"/>
      <w:r>
        <w:rPr>
          <w:rFonts w:cs="Calibri"/>
          <w:b/>
          <w:lang w:val="en-GB"/>
        </w:rPr>
        <w:t>Prévosto</w:t>
      </w:r>
      <w:proofErr w:type="spellEnd"/>
      <w:r>
        <w:rPr>
          <w:rFonts w:cs="Calibri"/>
          <w:b/>
          <w:lang w:val="en-GB"/>
        </w:rPr>
        <w:t xml:space="preserve"> B., </w:t>
      </w:r>
      <w:proofErr w:type="spellStart"/>
      <w:r>
        <w:rPr>
          <w:rFonts w:cs="Calibri"/>
          <w:b/>
          <w:lang w:val="en-GB"/>
        </w:rPr>
        <w:t>Vincenot</w:t>
      </w:r>
      <w:proofErr w:type="spellEnd"/>
      <w:r>
        <w:rPr>
          <w:rFonts w:cs="Calibri"/>
          <w:b/>
          <w:lang w:val="en-GB"/>
        </w:rPr>
        <w:t xml:space="preserve"> L. 2022</w:t>
      </w:r>
      <w:r>
        <w:rPr>
          <w:rFonts w:ascii="Arial" w:eastAsia="Arial" w:hAnsi="Arial" w:cs="Arial"/>
          <w:color w:val="000000"/>
          <w:lang w:val="en-GB"/>
        </w:rPr>
        <w:t xml:space="preserve">. </w:t>
      </w:r>
      <w:r>
        <w:rPr>
          <w:rFonts w:cs="Calibri"/>
          <w:lang w:val="en-GB"/>
        </w:rPr>
        <w:t xml:space="preserve">Tamm review: Forest understorey and overstorey interactions: So much more than just light interception by trees. </w:t>
      </w:r>
      <w:r>
        <w:rPr>
          <w:rFonts w:cs="Calibri"/>
          <w:i/>
          <w:lang w:val="en-GB"/>
        </w:rPr>
        <w:t>Forest Ecology and Management</w:t>
      </w:r>
      <w:r>
        <w:rPr>
          <w:rFonts w:cs="Calibri"/>
          <w:lang w:val="en-GB"/>
        </w:rPr>
        <w:t>, 526, 120584.</w:t>
      </w:r>
    </w:p>
    <w:p w14:paraId="263C8962" w14:textId="77777777" w:rsidR="001323B3" w:rsidRDefault="007434DA">
      <w:pPr>
        <w:spacing w:after="0" w:line="240" w:lineRule="auto"/>
        <w:ind w:left="720" w:hanging="720"/>
        <w:jc w:val="both"/>
        <w:rPr>
          <w:sz w:val="24"/>
          <w:lang w:val="en-US"/>
        </w:rPr>
      </w:pPr>
      <w:r>
        <w:rPr>
          <w:rFonts w:cs="Calibri"/>
          <w:b/>
          <w:lang w:val="en-GB"/>
        </w:rPr>
        <w:t>Barbier S., Gosselin F., Balandier P. 2008</w:t>
      </w:r>
      <w:r>
        <w:rPr>
          <w:rFonts w:ascii="Arial" w:eastAsia="Arial" w:hAnsi="Arial" w:cs="Arial"/>
          <w:color w:val="000000"/>
          <w:lang w:val="en-GB"/>
        </w:rPr>
        <w:t xml:space="preserve">. </w:t>
      </w:r>
      <w:r>
        <w:rPr>
          <w:rFonts w:cs="Calibri"/>
          <w:lang w:val="en-GB"/>
        </w:rPr>
        <w:t xml:space="preserve">Influence of tree species on understory vegetation diversity and mechanisms involved – a critical review for temperate and boreal forests. </w:t>
      </w:r>
      <w:r>
        <w:rPr>
          <w:rFonts w:cs="Calibri"/>
          <w:i/>
          <w:lang w:val="en-GB"/>
        </w:rPr>
        <w:t>Forest Ecology and Management</w:t>
      </w:r>
      <w:r>
        <w:rPr>
          <w:rFonts w:cs="Calibri"/>
          <w:lang w:val="en-GB"/>
        </w:rPr>
        <w:t>, 254, 1, 1-15.</w:t>
      </w:r>
    </w:p>
    <w:p w14:paraId="7B6F3F27" w14:textId="77777777" w:rsidR="001323B3" w:rsidRDefault="007434DA">
      <w:pPr>
        <w:spacing w:after="0" w:line="240" w:lineRule="auto"/>
        <w:ind w:left="720" w:hanging="720"/>
        <w:jc w:val="both"/>
        <w:rPr>
          <w:rFonts w:cs="Calibri"/>
        </w:rPr>
      </w:pPr>
      <w:bookmarkStart w:id="2" w:name="_ENREF_3"/>
      <w:r>
        <w:rPr>
          <w:rFonts w:cs="Calibri"/>
          <w:b/>
          <w:lang w:val="en-GB"/>
        </w:rPr>
        <w:t>Barbier S, Balandier P, Gosselin F. 2009</w:t>
      </w:r>
      <w:r>
        <w:rPr>
          <w:rFonts w:ascii="Arial" w:eastAsia="Arial" w:hAnsi="Arial" w:cs="Arial"/>
          <w:color w:val="000000"/>
          <w:u w:val="single"/>
          <w:lang w:val="en-GB"/>
        </w:rPr>
        <w:t>.</w:t>
      </w:r>
      <w:r>
        <w:rPr>
          <w:rFonts w:cs="Calibri"/>
          <w:lang w:val="en-US"/>
        </w:rPr>
        <w:t xml:space="preserve"> Influence of several tree traits on rainfall partitioning in temperate and boreal forests: a review. </w:t>
      </w:r>
      <w:proofErr w:type="spellStart"/>
      <w:r>
        <w:rPr>
          <w:rFonts w:cs="Calibri"/>
          <w:i/>
        </w:rPr>
        <w:t>Annals</w:t>
      </w:r>
      <w:proofErr w:type="spellEnd"/>
      <w:r>
        <w:rPr>
          <w:rFonts w:cs="Calibri"/>
          <w:i/>
        </w:rPr>
        <w:t xml:space="preserve"> of Forest Science,</w:t>
      </w:r>
      <w:r>
        <w:rPr>
          <w:rFonts w:cs="Calibri"/>
        </w:rPr>
        <w:t xml:space="preserve"> 66.</w:t>
      </w:r>
      <w:bookmarkEnd w:id="2"/>
    </w:p>
    <w:p w14:paraId="75D6B11A" w14:textId="77777777" w:rsidR="001323B3" w:rsidRDefault="007434DA">
      <w:pPr>
        <w:spacing w:after="0" w:line="240" w:lineRule="auto"/>
        <w:ind w:left="720" w:hanging="720"/>
        <w:jc w:val="both"/>
        <w:rPr>
          <w:rFonts w:cs="Calibri"/>
        </w:rPr>
      </w:pPr>
      <w:r>
        <w:rPr>
          <w:rFonts w:cs="Calibri"/>
          <w:b/>
          <w:lang w:val="en-GB"/>
        </w:rPr>
        <w:t xml:space="preserve">Barrere J., </w:t>
      </w:r>
      <w:proofErr w:type="spellStart"/>
      <w:r>
        <w:rPr>
          <w:rFonts w:cs="Calibri"/>
          <w:b/>
          <w:lang w:val="en-GB"/>
        </w:rPr>
        <w:t>Ligot</w:t>
      </w:r>
      <w:proofErr w:type="spellEnd"/>
      <w:r>
        <w:rPr>
          <w:rFonts w:cs="Calibri"/>
          <w:b/>
          <w:lang w:val="en-GB"/>
        </w:rPr>
        <w:t xml:space="preserve"> G., Boulanger V., Collet C., </w:t>
      </w:r>
      <w:proofErr w:type="spellStart"/>
      <w:r>
        <w:rPr>
          <w:rFonts w:cs="Calibri"/>
          <w:b/>
          <w:lang w:val="en-GB"/>
        </w:rPr>
        <w:t>Courbaud</w:t>
      </w:r>
      <w:proofErr w:type="spellEnd"/>
      <w:r>
        <w:rPr>
          <w:rFonts w:cs="Calibri"/>
          <w:b/>
          <w:lang w:val="en-GB"/>
        </w:rPr>
        <w:t xml:space="preserve"> B., Coligny F., Marell A., Said S., Balandier P.,</w:t>
      </w:r>
      <w:r>
        <w:rPr>
          <w:rFonts w:cs="Calibri"/>
          <w:lang w:val="en-GB"/>
        </w:rPr>
        <w:t xml:space="preserve"> </w:t>
      </w:r>
      <w:r>
        <w:rPr>
          <w:rFonts w:cs="Calibri"/>
          <w:b/>
          <w:lang w:val="en-GB"/>
        </w:rPr>
        <w:t>2024</w:t>
      </w:r>
      <w:r>
        <w:rPr>
          <w:rFonts w:cs="Calibri"/>
          <w:lang w:val="en-GB"/>
        </w:rPr>
        <w:t xml:space="preserve">. Oak regeneration facing deer browsing: can competition between saplings offset the diversion effect? </w:t>
      </w:r>
      <w:r>
        <w:rPr>
          <w:rFonts w:cs="Calibri"/>
        </w:rPr>
        <w:t xml:space="preserve">A simulation </w:t>
      </w:r>
      <w:proofErr w:type="spellStart"/>
      <w:r>
        <w:rPr>
          <w:rFonts w:cs="Calibri"/>
        </w:rPr>
        <w:t>experiment</w:t>
      </w:r>
      <w:proofErr w:type="spellEnd"/>
      <w:r>
        <w:rPr>
          <w:rFonts w:cs="Calibri"/>
        </w:rPr>
        <w:t xml:space="preserve">. </w:t>
      </w:r>
      <w:proofErr w:type="spellStart"/>
      <w:r>
        <w:rPr>
          <w:rFonts w:cs="Calibri"/>
        </w:rPr>
        <w:t>Ecological</w:t>
      </w:r>
      <w:proofErr w:type="spellEnd"/>
      <w:r>
        <w:rPr>
          <w:rFonts w:cs="Calibri"/>
        </w:rPr>
        <w:t xml:space="preserve"> </w:t>
      </w:r>
      <w:proofErr w:type="spellStart"/>
      <w:r>
        <w:rPr>
          <w:rFonts w:cs="Calibri"/>
        </w:rPr>
        <w:t>Modelling</w:t>
      </w:r>
      <w:proofErr w:type="spellEnd"/>
      <w:r>
        <w:rPr>
          <w:rFonts w:cs="Calibri"/>
        </w:rPr>
        <w:t>, 489, 110608, 10 p.</w:t>
      </w:r>
    </w:p>
    <w:p w14:paraId="48552F0D" w14:textId="77777777" w:rsidR="001323B3" w:rsidRDefault="007434DA">
      <w:pPr>
        <w:spacing w:after="0" w:line="240" w:lineRule="auto"/>
        <w:ind w:left="720" w:hanging="720"/>
        <w:jc w:val="both"/>
        <w:rPr>
          <w:rFonts w:cs="Calibri"/>
        </w:rPr>
      </w:pPr>
      <w:bookmarkStart w:id="3" w:name="_ENREF_4"/>
      <w:r>
        <w:rPr>
          <w:rFonts w:cs="Calibri"/>
          <w:b/>
        </w:rPr>
        <w:t xml:space="preserve">Fernandez M, Malagoli P, Vernay A, </w:t>
      </w:r>
      <w:proofErr w:type="spellStart"/>
      <w:r>
        <w:rPr>
          <w:rFonts w:cs="Calibri"/>
          <w:b/>
        </w:rPr>
        <w:t>Améglio</w:t>
      </w:r>
      <w:proofErr w:type="spellEnd"/>
      <w:r>
        <w:rPr>
          <w:rFonts w:cs="Calibri"/>
          <w:b/>
        </w:rPr>
        <w:t xml:space="preserve"> T, Balandier P. 2020a</w:t>
      </w:r>
      <w:r>
        <w:rPr>
          <w:rFonts w:cs="Calibri"/>
        </w:rPr>
        <w:t xml:space="preserve">. </w:t>
      </w:r>
      <w:r>
        <w:rPr>
          <w:rFonts w:cs="Calibri"/>
          <w:lang w:val="en-GB"/>
        </w:rPr>
        <w:t xml:space="preserve">Below-ground nitrogen transfer from oak seedlings facilitates Molinia </w:t>
      </w:r>
      <w:proofErr w:type="gramStart"/>
      <w:r>
        <w:rPr>
          <w:rFonts w:cs="Calibri"/>
          <w:lang w:val="en-GB"/>
        </w:rPr>
        <w:t>growth:</w:t>
      </w:r>
      <w:proofErr w:type="gramEnd"/>
      <w:r>
        <w:rPr>
          <w:rFonts w:cs="Calibri"/>
          <w:lang w:val="en-GB"/>
        </w:rPr>
        <w:t xml:space="preserve"> 15N pulse-chase labelling. </w:t>
      </w:r>
      <w:r>
        <w:rPr>
          <w:rFonts w:cs="Calibri"/>
          <w:i/>
        </w:rPr>
        <w:t xml:space="preserve">Plant and </w:t>
      </w:r>
      <w:proofErr w:type="spellStart"/>
      <w:r>
        <w:rPr>
          <w:rFonts w:cs="Calibri"/>
          <w:i/>
        </w:rPr>
        <w:t>Soil</w:t>
      </w:r>
      <w:proofErr w:type="spellEnd"/>
      <w:r>
        <w:rPr>
          <w:rFonts w:cs="Calibri"/>
        </w:rPr>
        <w:t xml:space="preserve">, </w:t>
      </w:r>
      <w:proofErr w:type="gramStart"/>
      <w:r>
        <w:rPr>
          <w:rFonts w:cs="Calibri"/>
        </w:rPr>
        <w:t>449:</w:t>
      </w:r>
      <w:proofErr w:type="gramEnd"/>
      <w:r>
        <w:rPr>
          <w:rFonts w:cs="Calibri"/>
        </w:rPr>
        <w:t xml:space="preserve"> 343-356.</w:t>
      </w:r>
      <w:bookmarkEnd w:id="3"/>
    </w:p>
    <w:p w14:paraId="06FAE243" w14:textId="77777777" w:rsidR="001323B3" w:rsidRDefault="007434DA">
      <w:pPr>
        <w:spacing w:after="0" w:line="240" w:lineRule="auto"/>
        <w:ind w:left="720" w:hanging="720"/>
        <w:jc w:val="both"/>
        <w:rPr>
          <w:rFonts w:cs="Calibri"/>
        </w:rPr>
      </w:pPr>
      <w:bookmarkStart w:id="4" w:name="_ENREF_5"/>
      <w:r>
        <w:rPr>
          <w:rFonts w:cs="Calibri"/>
          <w:b/>
        </w:rPr>
        <w:t xml:space="preserve">Fernandez M, Malagoli P, Vernay A, </w:t>
      </w:r>
      <w:proofErr w:type="spellStart"/>
      <w:r>
        <w:rPr>
          <w:rFonts w:cs="Calibri"/>
          <w:b/>
        </w:rPr>
        <w:t>Améglio</w:t>
      </w:r>
      <w:proofErr w:type="spellEnd"/>
      <w:r>
        <w:rPr>
          <w:rFonts w:cs="Calibri"/>
          <w:b/>
        </w:rPr>
        <w:t xml:space="preserve"> T, Balandier P. 2020b</w:t>
      </w:r>
      <w:r>
        <w:rPr>
          <w:rFonts w:cs="Calibri"/>
        </w:rPr>
        <w:t xml:space="preserve">. Échecs de régénération du chêne en présence de Molinie : au-delà d'une simple pour les ressources. </w:t>
      </w:r>
      <w:r>
        <w:rPr>
          <w:rFonts w:cs="Calibri"/>
          <w:i/>
        </w:rPr>
        <w:t xml:space="preserve">Les Rendez-vous techniques de </w:t>
      </w:r>
      <w:proofErr w:type="gramStart"/>
      <w:r>
        <w:rPr>
          <w:rFonts w:cs="Calibri"/>
          <w:i/>
        </w:rPr>
        <w:t>l'ONF</w:t>
      </w:r>
      <w:r>
        <w:rPr>
          <w:rFonts w:cs="Calibri"/>
        </w:rPr>
        <w:t>:</w:t>
      </w:r>
      <w:proofErr w:type="gramEnd"/>
      <w:r>
        <w:rPr>
          <w:rFonts w:cs="Calibri"/>
        </w:rPr>
        <w:t xml:space="preserve"> 39-45.</w:t>
      </w:r>
      <w:bookmarkEnd w:id="4"/>
    </w:p>
    <w:p w14:paraId="61C6E454" w14:textId="77777777" w:rsidR="001323B3" w:rsidRDefault="007434DA">
      <w:pPr>
        <w:spacing w:after="0" w:line="240" w:lineRule="auto"/>
        <w:ind w:left="720" w:hanging="720"/>
        <w:jc w:val="both"/>
        <w:rPr>
          <w:rFonts w:cs="Calibri"/>
          <w:lang w:val="en-US"/>
        </w:rPr>
      </w:pPr>
      <w:bookmarkStart w:id="5" w:name="_ENREF_6"/>
      <w:r>
        <w:rPr>
          <w:rFonts w:cs="Calibri"/>
          <w:b/>
        </w:rPr>
        <w:t xml:space="preserve">Fernandez M, Vernay A, </w:t>
      </w:r>
      <w:proofErr w:type="spellStart"/>
      <w:r>
        <w:rPr>
          <w:rFonts w:cs="Calibri"/>
          <w:b/>
        </w:rPr>
        <w:t>Henneron</w:t>
      </w:r>
      <w:proofErr w:type="spellEnd"/>
      <w:r>
        <w:rPr>
          <w:rFonts w:cs="Calibri"/>
          <w:b/>
        </w:rPr>
        <w:t xml:space="preserve"> L, </w:t>
      </w:r>
      <w:proofErr w:type="spellStart"/>
      <w:r>
        <w:rPr>
          <w:rFonts w:cs="Calibri"/>
          <w:b/>
        </w:rPr>
        <w:t>Adamik</w:t>
      </w:r>
      <w:proofErr w:type="spellEnd"/>
      <w:r>
        <w:rPr>
          <w:rFonts w:cs="Calibri"/>
          <w:b/>
        </w:rPr>
        <w:t xml:space="preserve"> L, Malagoli P, Balandier P. 2022.</w:t>
      </w:r>
      <w:r>
        <w:rPr>
          <w:rFonts w:cs="Calibri"/>
        </w:rPr>
        <w:t xml:space="preserve"> </w:t>
      </w:r>
      <w:r>
        <w:rPr>
          <w:rFonts w:cs="Calibri"/>
          <w:lang w:val="en-US"/>
        </w:rPr>
        <w:t xml:space="preserve">Plant </w:t>
      </w:r>
      <w:proofErr w:type="spellStart"/>
      <w:r>
        <w:rPr>
          <w:rFonts w:cs="Calibri"/>
          <w:lang w:val="en-US"/>
        </w:rPr>
        <w:t>N</w:t>
      </w:r>
      <w:proofErr w:type="spellEnd"/>
      <w:r>
        <w:rPr>
          <w:rFonts w:cs="Calibri"/>
          <w:lang w:val="en-US"/>
        </w:rPr>
        <w:t xml:space="preserve"> economics and the extended phenotype: Integrating the functional traits of plants and associated soil biota into plant–plant interactions. </w:t>
      </w:r>
      <w:r>
        <w:rPr>
          <w:rFonts w:cs="Calibri"/>
          <w:i/>
          <w:lang w:val="en-US"/>
        </w:rPr>
        <w:t>Journal of Ecology,</w:t>
      </w:r>
      <w:r>
        <w:rPr>
          <w:rFonts w:cs="Calibri"/>
          <w:lang w:val="en-US"/>
        </w:rPr>
        <w:t xml:space="preserve"> 110: 2015-2032.</w:t>
      </w:r>
      <w:bookmarkEnd w:id="5"/>
    </w:p>
    <w:p w14:paraId="26324901" w14:textId="77777777" w:rsidR="001323B3" w:rsidRDefault="007434DA">
      <w:pPr>
        <w:spacing w:after="0" w:line="240" w:lineRule="auto"/>
        <w:ind w:left="720" w:hanging="720"/>
        <w:jc w:val="both"/>
        <w:rPr>
          <w:lang w:val="en-US"/>
        </w:rPr>
      </w:pPr>
      <w:bookmarkStart w:id="6" w:name="_ENREF_7"/>
      <w:r>
        <w:rPr>
          <w:rFonts w:cs="Calibri"/>
          <w:b/>
          <w:lang w:val="en-GB"/>
        </w:rPr>
        <w:t>Gaudio N, Gendre X, Saudreau M, Seigner V, Balandier P. 2017.</w:t>
      </w:r>
      <w:r>
        <w:rPr>
          <w:rFonts w:cs="Calibri"/>
          <w:lang w:val="en-US"/>
        </w:rPr>
        <w:t xml:space="preserve"> Impact of tree canopy on thermal and radiative microclimates in a mixed temperate forest: A new statistical method to </w:t>
      </w:r>
      <w:proofErr w:type="spellStart"/>
      <w:r>
        <w:rPr>
          <w:rFonts w:cs="Calibri"/>
          <w:lang w:val="en-US"/>
        </w:rPr>
        <w:t>analyse</w:t>
      </w:r>
      <w:proofErr w:type="spellEnd"/>
      <w:r>
        <w:rPr>
          <w:rFonts w:cs="Calibri"/>
          <w:lang w:val="en-US"/>
        </w:rPr>
        <w:t xml:space="preserve"> hourly temporal dynamics. </w:t>
      </w:r>
      <w:r>
        <w:rPr>
          <w:rFonts w:cs="Calibri"/>
          <w:i/>
          <w:lang w:val="en-US"/>
        </w:rPr>
        <w:t>Agricultural and Forest Meteorology,</w:t>
      </w:r>
      <w:r>
        <w:rPr>
          <w:rFonts w:cs="Calibri"/>
          <w:lang w:val="en-US"/>
        </w:rPr>
        <w:t xml:space="preserve"> 237–238: 71-79.</w:t>
      </w:r>
      <w:bookmarkEnd w:id="6"/>
    </w:p>
    <w:p w14:paraId="722760B6" w14:textId="77777777" w:rsidR="001323B3" w:rsidRDefault="007434DA">
      <w:pPr>
        <w:pBdr>
          <w:top w:val="none" w:sz="4" w:space="0" w:color="000000"/>
          <w:left w:val="none" w:sz="4" w:space="0" w:color="000000"/>
          <w:bottom w:val="none" w:sz="4" w:space="0" w:color="000000"/>
          <w:right w:val="none" w:sz="4" w:space="0" w:color="000000"/>
        </w:pBdr>
        <w:spacing w:after="0"/>
        <w:ind w:left="709" w:hanging="709"/>
        <w:jc w:val="both"/>
        <w:rPr>
          <w:rFonts w:cs="Calibri"/>
          <w:lang w:val="en-GB"/>
        </w:rPr>
      </w:pPr>
      <w:proofErr w:type="spellStart"/>
      <w:r>
        <w:rPr>
          <w:rFonts w:cs="Calibri"/>
          <w:b/>
          <w:lang w:val="en-US"/>
        </w:rPr>
        <w:t>Henneron</w:t>
      </w:r>
      <w:proofErr w:type="spellEnd"/>
      <w:r>
        <w:rPr>
          <w:rFonts w:cs="Calibri"/>
          <w:b/>
          <w:lang w:val="en-US"/>
        </w:rPr>
        <w:t xml:space="preserve"> L., </w:t>
      </w:r>
      <w:proofErr w:type="spellStart"/>
      <w:r>
        <w:rPr>
          <w:rFonts w:cs="Calibri"/>
          <w:b/>
          <w:lang w:val="en-US"/>
        </w:rPr>
        <w:t>Chauvat</w:t>
      </w:r>
      <w:proofErr w:type="spellEnd"/>
      <w:r>
        <w:rPr>
          <w:rFonts w:cs="Calibri"/>
          <w:b/>
          <w:lang w:val="en-US"/>
        </w:rPr>
        <w:t xml:space="preserve"> M., </w:t>
      </w:r>
      <w:proofErr w:type="spellStart"/>
      <w:r>
        <w:rPr>
          <w:rFonts w:cs="Calibri"/>
          <w:b/>
          <w:lang w:val="en-US"/>
        </w:rPr>
        <w:t>Archaux</w:t>
      </w:r>
      <w:proofErr w:type="spellEnd"/>
      <w:r>
        <w:rPr>
          <w:rFonts w:cs="Calibri"/>
          <w:b/>
          <w:lang w:val="en-US"/>
        </w:rPr>
        <w:t xml:space="preserve"> F.., Akpa-</w:t>
      </w:r>
      <w:proofErr w:type="spellStart"/>
      <w:r>
        <w:rPr>
          <w:rFonts w:cs="Calibri"/>
          <w:b/>
          <w:lang w:val="en-US"/>
        </w:rPr>
        <w:t>Vinceslas</w:t>
      </w:r>
      <w:proofErr w:type="spellEnd"/>
      <w:r>
        <w:rPr>
          <w:rFonts w:cs="Calibri"/>
          <w:b/>
          <w:lang w:val="en-US"/>
        </w:rPr>
        <w:t xml:space="preserve"> M., Bureau, F., Dumas Y., </w:t>
      </w:r>
      <w:proofErr w:type="spellStart"/>
      <w:r>
        <w:rPr>
          <w:rFonts w:cs="Calibri"/>
          <w:b/>
          <w:lang w:val="en-US"/>
        </w:rPr>
        <w:t>Ningre</w:t>
      </w:r>
      <w:proofErr w:type="spellEnd"/>
      <w:r>
        <w:rPr>
          <w:rFonts w:cs="Calibri"/>
          <w:b/>
          <w:lang w:val="en-US"/>
        </w:rPr>
        <w:t xml:space="preserve"> F., RICHTER C., Balandier P., Aubert M., 2018</w:t>
      </w:r>
      <w:r>
        <w:rPr>
          <w:rFonts w:ascii="Arial" w:eastAsia="Arial" w:hAnsi="Arial" w:cs="Arial"/>
          <w:color w:val="000000"/>
          <w:lang w:val="en-US"/>
        </w:rPr>
        <w:t xml:space="preserve">. </w:t>
      </w:r>
      <w:r>
        <w:rPr>
          <w:rFonts w:cs="Calibri"/>
          <w:lang w:val="en-GB"/>
        </w:rPr>
        <w:t xml:space="preserve">Plasticity in leaf litter traits of Quercus petraea partly mitigates the impact of thinning on forest floor carbon cycling. </w:t>
      </w:r>
      <w:r>
        <w:rPr>
          <w:rFonts w:cs="Calibri"/>
          <w:i/>
          <w:lang w:val="en-GB"/>
        </w:rPr>
        <w:t>Functional Ecology</w:t>
      </w:r>
      <w:r>
        <w:rPr>
          <w:rFonts w:cs="Calibri"/>
          <w:lang w:val="en-GB"/>
        </w:rPr>
        <w:t>, 32, 2777-2789.</w:t>
      </w:r>
    </w:p>
    <w:p w14:paraId="6BB60C8B" w14:textId="77777777" w:rsidR="001323B3" w:rsidRDefault="007434DA">
      <w:pPr>
        <w:spacing w:after="0" w:line="240" w:lineRule="auto"/>
        <w:ind w:left="720" w:hanging="720"/>
        <w:jc w:val="both"/>
        <w:rPr>
          <w:rFonts w:cs="Calibri"/>
        </w:rPr>
      </w:pPr>
      <w:proofErr w:type="spellStart"/>
      <w:r>
        <w:rPr>
          <w:rFonts w:cs="Calibri"/>
          <w:b/>
          <w:lang w:val="en-GB"/>
        </w:rPr>
        <w:t>Henneron</w:t>
      </w:r>
      <w:proofErr w:type="spellEnd"/>
      <w:r>
        <w:rPr>
          <w:rFonts w:cs="Calibri"/>
          <w:b/>
          <w:lang w:val="en-GB"/>
        </w:rPr>
        <w:t xml:space="preserve"> L., Aubert M., Bureau F., </w:t>
      </w:r>
      <w:proofErr w:type="spellStart"/>
      <w:r>
        <w:rPr>
          <w:rFonts w:cs="Calibri"/>
          <w:b/>
          <w:lang w:val="en-GB"/>
        </w:rPr>
        <w:t>Archaux</w:t>
      </w:r>
      <w:proofErr w:type="spellEnd"/>
      <w:r>
        <w:rPr>
          <w:rFonts w:cs="Calibri"/>
          <w:b/>
          <w:lang w:val="en-GB"/>
        </w:rPr>
        <w:t xml:space="preserve"> F., Dumas Y., </w:t>
      </w:r>
      <w:proofErr w:type="spellStart"/>
      <w:r>
        <w:rPr>
          <w:rFonts w:cs="Calibri"/>
          <w:b/>
          <w:lang w:val="en-GB"/>
        </w:rPr>
        <w:t>Ningre</w:t>
      </w:r>
      <w:proofErr w:type="spellEnd"/>
      <w:r>
        <w:rPr>
          <w:rFonts w:cs="Calibri"/>
          <w:b/>
          <w:lang w:val="en-GB"/>
        </w:rPr>
        <w:t xml:space="preserve"> F., Richter C., Balandier P., </w:t>
      </w:r>
      <w:proofErr w:type="spellStart"/>
      <w:r>
        <w:rPr>
          <w:rFonts w:cs="Calibri"/>
          <w:b/>
          <w:lang w:val="en-GB"/>
        </w:rPr>
        <w:t>Chauvat</w:t>
      </w:r>
      <w:proofErr w:type="spellEnd"/>
      <w:r>
        <w:rPr>
          <w:rFonts w:cs="Calibri"/>
          <w:b/>
          <w:lang w:val="en-GB"/>
        </w:rPr>
        <w:t xml:space="preserve"> M., 2017</w:t>
      </w:r>
      <w:r>
        <w:rPr>
          <w:rFonts w:ascii="Arial" w:eastAsia="Arial" w:hAnsi="Arial" w:cs="Arial"/>
          <w:color w:val="000000"/>
          <w:lang w:val="en-GB"/>
        </w:rPr>
        <w:t xml:space="preserve">. </w:t>
      </w:r>
      <w:r>
        <w:rPr>
          <w:rFonts w:cs="Calibri"/>
          <w:lang w:val="en-GB"/>
        </w:rPr>
        <w:t xml:space="preserve">Forest plant community as a driver of soil biodiversity: experimental evidence from collembolan assemblages through large-scale and long-term manipulation of tree canopy opening. </w:t>
      </w:r>
      <w:proofErr w:type="spellStart"/>
      <w:r>
        <w:rPr>
          <w:rFonts w:cs="Calibri"/>
          <w:i/>
        </w:rPr>
        <w:t>Oikos</w:t>
      </w:r>
      <w:proofErr w:type="spellEnd"/>
      <w:r>
        <w:rPr>
          <w:rFonts w:cs="Calibri"/>
        </w:rPr>
        <w:t>, 126, 3, 420 – 434.</w:t>
      </w:r>
    </w:p>
    <w:p w14:paraId="420C1606" w14:textId="77777777" w:rsidR="001323B3" w:rsidRDefault="007434DA">
      <w:pPr>
        <w:spacing w:after="0" w:line="240" w:lineRule="auto"/>
        <w:ind w:left="720" w:hanging="720"/>
        <w:jc w:val="both"/>
        <w:rPr>
          <w:rFonts w:cs="Calibri"/>
          <w:lang w:val="en-GB"/>
        </w:rPr>
      </w:pPr>
      <w:bookmarkStart w:id="7" w:name="_ENREF_8"/>
      <w:r>
        <w:rPr>
          <w:rFonts w:cs="Calibri"/>
          <w:b/>
        </w:rPr>
        <w:lastRenderedPageBreak/>
        <w:t>Ligot G, Balandier P, Fayolle A, Lejeune P, Claessens H. 2013</w:t>
      </w:r>
      <w:r>
        <w:rPr>
          <w:rFonts w:ascii="Arial" w:eastAsia="Arial" w:hAnsi="Arial" w:cs="Arial"/>
          <w:caps/>
          <w:color w:val="000000"/>
          <w:u w:val="single"/>
        </w:rPr>
        <w:t>.</w:t>
      </w:r>
      <w:r>
        <w:rPr>
          <w:rFonts w:cs="Calibri"/>
        </w:rPr>
        <w:t xml:space="preserve"> </w:t>
      </w:r>
      <w:r>
        <w:rPr>
          <w:rFonts w:cs="Calibri"/>
          <w:lang w:val="en-GB"/>
        </w:rPr>
        <w:t xml:space="preserve">Height competition between Quercus petraea and Fagus sylvatica natural regeneration in mixed and uneven-aged stands. </w:t>
      </w:r>
      <w:r>
        <w:rPr>
          <w:rFonts w:cs="Calibri"/>
          <w:i/>
          <w:lang w:val="en-GB"/>
        </w:rPr>
        <w:t xml:space="preserve">Forest Ecology and Management, </w:t>
      </w:r>
      <w:r>
        <w:rPr>
          <w:rFonts w:cs="Calibri"/>
          <w:lang w:val="en-GB"/>
        </w:rPr>
        <w:t>304: 391-398.</w:t>
      </w:r>
      <w:bookmarkEnd w:id="7"/>
    </w:p>
    <w:p w14:paraId="64B5C2D0" w14:textId="77777777" w:rsidR="001323B3" w:rsidRDefault="007434DA">
      <w:pPr>
        <w:spacing w:after="0" w:line="240" w:lineRule="auto"/>
        <w:ind w:left="720" w:hanging="720"/>
        <w:jc w:val="both"/>
        <w:rPr>
          <w:rFonts w:cs="Calibri"/>
          <w:lang w:val="en-GB"/>
        </w:rPr>
      </w:pPr>
      <w:proofErr w:type="spellStart"/>
      <w:r>
        <w:rPr>
          <w:rFonts w:cs="Calibri"/>
          <w:b/>
          <w:lang w:val="en-US"/>
        </w:rPr>
        <w:t>Prevosto</w:t>
      </w:r>
      <w:proofErr w:type="spellEnd"/>
      <w:r>
        <w:rPr>
          <w:rFonts w:cs="Calibri"/>
          <w:b/>
          <w:lang w:val="en-US"/>
        </w:rPr>
        <w:t xml:space="preserve"> B., </w:t>
      </w:r>
      <w:proofErr w:type="spellStart"/>
      <w:r>
        <w:rPr>
          <w:rFonts w:cs="Calibri"/>
          <w:b/>
          <w:lang w:val="en-US"/>
        </w:rPr>
        <w:t>Helluy</w:t>
      </w:r>
      <w:proofErr w:type="spellEnd"/>
      <w:r>
        <w:rPr>
          <w:rFonts w:cs="Calibri"/>
          <w:b/>
          <w:lang w:val="en-US"/>
        </w:rPr>
        <w:t xml:space="preserve"> M., </w:t>
      </w:r>
      <w:proofErr w:type="spellStart"/>
      <w:r>
        <w:rPr>
          <w:rFonts w:cs="Calibri"/>
          <w:b/>
          <w:lang w:val="en-US"/>
        </w:rPr>
        <w:t>Gavinet</w:t>
      </w:r>
      <w:proofErr w:type="spellEnd"/>
      <w:r>
        <w:rPr>
          <w:rFonts w:cs="Calibri"/>
          <w:b/>
          <w:lang w:val="en-US"/>
        </w:rPr>
        <w:t xml:space="preserve"> J., Fernandez C., Balandier P., 2020</w:t>
      </w:r>
      <w:r>
        <w:rPr>
          <w:rFonts w:ascii="Arial" w:eastAsia="Arial" w:hAnsi="Arial" w:cs="Arial"/>
          <w:color w:val="000000"/>
          <w:lang w:val="en-US"/>
        </w:rPr>
        <w:t>.</w:t>
      </w:r>
      <w:r>
        <w:rPr>
          <w:rFonts w:ascii="Times New Roman" w:eastAsia="Times New Roman" w:hAnsi="Times New Roman"/>
          <w:color w:val="000000"/>
          <w:sz w:val="24"/>
          <w:lang w:val="en-US"/>
        </w:rPr>
        <w:t xml:space="preserve"> </w:t>
      </w:r>
      <w:r>
        <w:rPr>
          <w:rFonts w:cs="Calibri"/>
          <w:lang w:val="en-GB"/>
        </w:rPr>
        <w:t xml:space="preserve">Microclimate in Mediterranean pine forests: What is the influence of the shrub layer? </w:t>
      </w:r>
      <w:r>
        <w:rPr>
          <w:rFonts w:cs="Calibri"/>
          <w:i/>
          <w:lang w:val="en-GB"/>
        </w:rPr>
        <w:t>Agricultural and Forest Meteorology,</w:t>
      </w:r>
      <w:r>
        <w:rPr>
          <w:rFonts w:cs="Calibri"/>
          <w:lang w:val="en-GB"/>
        </w:rPr>
        <w:t xml:space="preserve"> 282-283, 107856.</w:t>
      </w:r>
    </w:p>
    <w:p w14:paraId="2BFF8F37" w14:textId="77777777" w:rsidR="001323B3" w:rsidRDefault="007434DA">
      <w:pPr>
        <w:spacing w:after="0" w:line="240" w:lineRule="auto"/>
        <w:ind w:left="720" w:hanging="720"/>
        <w:jc w:val="both"/>
        <w:rPr>
          <w:rFonts w:cs="Calibri"/>
        </w:rPr>
      </w:pPr>
      <w:r>
        <w:rPr>
          <w:rFonts w:cs="Calibri"/>
          <w:b/>
          <w:lang w:val="en-GB"/>
        </w:rPr>
        <w:t xml:space="preserve">Vernay A, Balandier P, Guinard L, </w:t>
      </w:r>
      <w:proofErr w:type="spellStart"/>
      <w:r>
        <w:rPr>
          <w:rFonts w:cs="Calibri"/>
          <w:b/>
          <w:lang w:val="en-GB"/>
        </w:rPr>
        <w:t>Améglio</w:t>
      </w:r>
      <w:proofErr w:type="spellEnd"/>
      <w:r>
        <w:rPr>
          <w:rFonts w:cs="Calibri"/>
          <w:b/>
          <w:lang w:val="en-GB"/>
        </w:rPr>
        <w:t xml:space="preserve"> T, Malagoli P. 2016</w:t>
      </w:r>
      <w:r>
        <w:rPr>
          <w:rFonts w:cs="Calibri"/>
          <w:lang w:val="en-GB"/>
        </w:rPr>
        <w:t xml:space="preserve">. </w:t>
      </w:r>
      <w:r>
        <w:rPr>
          <w:rFonts w:cs="Calibri"/>
          <w:lang w:val="en-US"/>
        </w:rPr>
        <w:t xml:space="preserve">Photosynthesis capacity of Quercus petraea (Matt.) saplings is affected by Molinia </w:t>
      </w:r>
      <w:proofErr w:type="spellStart"/>
      <w:r>
        <w:rPr>
          <w:rFonts w:cs="Calibri"/>
          <w:lang w:val="en-US"/>
        </w:rPr>
        <w:t>caerulea</w:t>
      </w:r>
      <w:proofErr w:type="spellEnd"/>
      <w:r>
        <w:rPr>
          <w:rFonts w:cs="Calibri"/>
          <w:lang w:val="en-US"/>
        </w:rPr>
        <w:t xml:space="preserve"> (L.) under high irradiance. </w:t>
      </w:r>
      <w:r>
        <w:rPr>
          <w:rFonts w:cs="Calibri"/>
          <w:i/>
        </w:rPr>
        <w:t xml:space="preserve">Forest </w:t>
      </w:r>
      <w:proofErr w:type="spellStart"/>
      <w:r>
        <w:rPr>
          <w:rFonts w:cs="Calibri"/>
          <w:i/>
        </w:rPr>
        <w:t>Ecology</w:t>
      </w:r>
      <w:proofErr w:type="spellEnd"/>
      <w:r>
        <w:rPr>
          <w:rFonts w:cs="Calibri"/>
          <w:i/>
        </w:rPr>
        <w:t xml:space="preserve"> and Management,</w:t>
      </w:r>
      <w:r>
        <w:rPr>
          <w:rFonts w:cs="Calibri"/>
        </w:rPr>
        <w:t xml:space="preserve"> </w:t>
      </w:r>
      <w:proofErr w:type="gramStart"/>
      <w:r>
        <w:rPr>
          <w:rFonts w:cs="Calibri"/>
        </w:rPr>
        <w:t>376:</w:t>
      </w:r>
      <w:proofErr w:type="gramEnd"/>
      <w:r>
        <w:rPr>
          <w:rFonts w:cs="Calibri"/>
        </w:rPr>
        <w:t xml:space="preserve"> 107-117.</w:t>
      </w:r>
    </w:p>
    <w:p w14:paraId="0625E8CE" w14:textId="77777777" w:rsidR="001323B3" w:rsidRDefault="007434DA">
      <w:pPr>
        <w:spacing w:after="0" w:line="240" w:lineRule="auto"/>
        <w:ind w:left="720" w:hanging="720"/>
        <w:jc w:val="both"/>
        <w:rPr>
          <w:rFonts w:cs="Calibri"/>
        </w:rPr>
      </w:pPr>
      <w:r>
        <w:rPr>
          <w:rFonts w:cs="Calibri"/>
          <w:b/>
        </w:rPr>
        <w:t xml:space="preserve">Vernay A, Malagoli P, </w:t>
      </w:r>
      <w:proofErr w:type="spellStart"/>
      <w:r>
        <w:rPr>
          <w:rFonts w:cs="Calibri"/>
          <w:b/>
        </w:rPr>
        <w:t>Perot</w:t>
      </w:r>
      <w:proofErr w:type="spellEnd"/>
      <w:r>
        <w:rPr>
          <w:rFonts w:cs="Calibri"/>
          <w:b/>
        </w:rPr>
        <w:t xml:space="preserve"> T, Fernandez M, </w:t>
      </w:r>
      <w:proofErr w:type="spellStart"/>
      <w:r>
        <w:rPr>
          <w:rFonts w:cs="Calibri"/>
          <w:b/>
        </w:rPr>
        <w:t>Améglio</w:t>
      </w:r>
      <w:proofErr w:type="spellEnd"/>
      <w:r>
        <w:rPr>
          <w:rFonts w:cs="Calibri"/>
          <w:b/>
        </w:rPr>
        <w:t xml:space="preserve"> T, Balandier P. 2017</w:t>
      </w:r>
      <w:r>
        <w:rPr>
          <w:rFonts w:cs="Calibri"/>
        </w:rPr>
        <w:t xml:space="preserve">. </w:t>
      </w:r>
      <w:r>
        <w:rPr>
          <w:rFonts w:cs="Calibri"/>
          <w:lang w:val="en-US"/>
        </w:rPr>
        <w:t xml:space="preserve">Unexpected impact of N availability on the interaction between </w:t>
      </w:r>
      <w:r>
        <w:rPr>
          <w:rFonts w:cs="Calibri"/>
          <w:i/>
          <w:lang w:val="en-US"/>
        </w:rPr>
        <w:t>Quercus</w:t>
      </w:r>
      <w:r>
        <w:rPr>
          <w:rFonts w:cs="Calibri"/>
          <w:lang w:val="en-US"/>
        </w:rPr>
        <w:t xml:space="preserve"> and </w:t>
      </w:r>
      <w:proofErr w:type="spellStart"/>
      <w:r>
        <w:rPr>
          <w:rFonts w:cs="Calibri"/>
          <w:i/>
          <w:lang w:val="en-US"/>
        </w:rPr>
        <w:t>Deschampsia</w:t>
      </w:r>
      <w:proofErr w:type="spellEnd"/>
      <w:r>
        <w:rPr>
          <w:rFonts w:cs="Calibri"/>
          <w:lang w:val="en-US"/>
        </w:rPr>
        <w:t xml:space="preserve">. </w:t>
      </w:r>
      <w:proofErr w:type="spellStart"/>
      <w:r>
        <w:rPr>
          <w:rFonts w:cs="Calibri"/>
          <w:i/>
        </w:rPr>
        <w:t>Conference</w:t>
      </w:r>
      <w:proofErr w:type="spellEnd"/>
      <w:r>
        <w:rPr>
          <w:rFonts w:cs="Calibri"/>
          <w:i/>
        </w:rPr>
        <w:t xml:space="preserve"> </w:t>
      </w:r>
      <w:proofErr w:type="spellStart"/>
      <w:r>
        <w:rPr>
          <w:rFonts w:cs="Calibri"/>
          <w:i/>
        </w:rPr>
        <w:t>Functional</w:t>
      </w:r>
      <w:proofErr w:type="spellEnd"/>
      <w:r>
        <w:rPr>
          <w:rFonts w:cs="Calibri"/>
          <w:i/>
        </w:rPr>
        <w:t xml:space="preserve"> </w:t>
      </w:r>
      <w:proofErr w:type="spellStart"/>
      <w:r>
        <w:rPr>
          <w:rFonts w:cs="Calibri"/>
          <w:i/>
        </w:rPr>
        <w:t>Ecology</w:t>
      </w:r>
      <w:proofErr w:type="spellEnd"/>
      <w:r>
        <w:rPr>
          <w:rFonts w:cs="Calibri"/>
          <w:i/>
        </w:rPr>
        <w:t xml:space="preserve"> &amp; </w:t>
      </w:r>
      <w:proofErr w:type="spellStart"/>
      <w:r>
        <w:rPr>
          <w:rFonts w:cs="Calibri"/>
          <w:i/>
        </w:rPr>
        <w:t>Environment</w:t>
      </w:r>
      <w:proofErr w:type="spellEnd"/>
      <w:r>
        <w:rPr>
          <w:rFonts w:cs="Calibri"/>
        </w:rPr>
        <w:t>, Toulouse (France), 11-12 juillet.</w:t>
      </w:r>
    </w:p>
    <w:p w14:paraId="7760E6AC" w14:textId="77777777" w:rsidR="001323B3" w:rsidRDefault="007434DA">
      <w:pPr>
        <w:spacing w:line="240" w:lineRule="auto"/>
        <w:ind w:left="720" w:hanging="720"/>
        <w:jc w:val="both"/>
        <w:rPr>
          <w:rFonts w:cs="Calibri"/>
        </w:rPr>
      </w:pPr>
      <w:r>
        <w:rPr>
          <w:rFonts w:cs="Calibri"/>
          <w:b/>
        </w:rPr>
        <w:t xml:space="preserve">Vernay A, Malagoli P, Fernandez M, </w:t>
      </w:r>
      <w:proofErr w:type="spellStart"/>
      <w:r>
        <w:rPr>
          <w:rFonts w:cs="Calibri"/>
          <w:b/>
        </w:rPr>
        <w:t>Améglio</w:t>
      </w:r>
      <w:proofErr w:type="spellEnd"/>
      <w:r>
        <w:rPr>
          <w:rFonts w:cs="Calibri"/>
          <w:b/>
        </w:rPr>
        <w:t xml:space="preserve"> T, Balandier P.</w:t>
      </w:r>
      <w:r>
        <w:rPr>
          <w:rFonts w:cs="Calibri"/>
        </w:rPr>
        <w:t xml:space="preserve"> </w:t>
      </w:r>
      <w:r>
        <w:rPr>
          <w:rFonts w:cs="Calibri"/>
          <w:b/>
        </w:rPr>
        <w:t>2019</w:t>
      </w:r>
      <w:r>
        <w:rPr>
          <w:rFonts w:cs="Calibri"/>
        </w:rPr>
        <w:t xml:space="preserve">. Régénération du chêne en compétition avec la molinie : un délicat dosage des ressources en eau et en lumière. </w:t>
      </w:r>
      <w:r>
        <w:rPr>
          <w:rFonts w:cs="Calibri"/>
          <w:i/>
        </w:rPr>
        <w:t xml:space="preserve">Les Rendez-vous techniques de </w:t>
      </w:r>
      <w:proofErr w:type="gramStart"/>
      <w:r>
        <w:rPr>
          <w:rFonts w:cs="Calibri"/>
          <w:i/>
        </w:rPr>
        <w:t>l'ONF</w:t>
      </w:r>
      <w:r>
        <w:rPr>
          <w:rFonts w:cs="Calibri"/>
        </w:rPr>
        <w:t>:</w:t>
      </w:r>
      <w:proofErr w:type="gramEnd"/>
      <w:r>
        <w:rPr>
          <w:rFonts w:cs="Calibri"/>
        </w:rPr>
        <w:t xml:space="preserve"> 3-10.</w:t>
      </w:r>
    </w:p>
    <w:p w14:paraId="5B7E4B65" w14:textId="77777777" w:rsidR="001323B3" w:rsidRDefault="007434DA">
      <w:pPr>
        <w:spacing w:after="0" w:line="240" w:lineRule="auto"/>
        <w:ind w:left="720" w:hanging="720"/>
        <w:jc w:val="both"/>
        <w:rPr>
          <w:rFonts w:cs="Calibri"/>
          <w:i/>
        </w:rPr>
      </w:pPr>
      <w:r>
        <w:fldChar w:fldCharType="begin"/>
      </w:r>
      <w:r>
        <w:instrText xml:space="preserve"> ADDIN EN.REFLIST </w:instrText>
      </w:r>
      <w:r>
        <w:fldChar w:fldCharType="separate"/>
      </w:r>
    </w:p>
    <w:p w14:paraId="171F45B9" w14:textId="77777777" w:rsidR="001323B3" w:rsidRDefault="001323B3">
      <w:pPr>
        <w:spacing w:line="240" w:lineRule="auto"/>
        <w:jc w:val="both"/>
        <w:rPr>
          <w:rFonts w:cs="Calibri"/>
          <w:i/>
        </w:rPr>
      </w:pPr>
    </w:p>
    <w:p w14:paraId="25C2907E" w14:textId="77777777" w:rsidR="001323B3" w:rsidRDefault="007434DA">
      <w:pPr>
        <w:jc w:val="both"/>
      </w:pPr>
      <w:r>
        <w:fldChar w:fldCharType="end"/>
      </w:r>
    </w:p>
    <w:sectPr w:rsidR="00132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3C6BE" w14:textId="77777777" w:rsidR="001323B3" w:rsidRDefault="007434DA">
      <w:pPr>
        <w:spacing w:after="0" w:line="240" w:lineRule="auto"/>
      </w:pPr>
      <w:r>
        <w:separator/>
      </w:r>
    </w:p>
  </w:endnote>
  <w:endnote w:type="continuationSeparator" w:id="0">
    <w:p w14:paraId="1EFBF8E6" w14:textId="77777777" w:rsidR="001323B3" w:rsidRDefault="0074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D758E" w14:textId="77777777" w:rsidR="001323B3" w:rsidRDefault="007434DA">
    <w:pPr>
      <w:pStyle w:val="Pieddepage"/>
      <w:jc w:val="right"/>
    </w:pPr>
    <w:r>
      <w:fldChar w:fldCharType="begin"/>
    </w:r>
    <w:r>
      <w:instrText>PAGE   \* MERGEFORMAT</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17D30" w14:textId="77777777" w:rsidR="001323B3" w:rsidRDefault="007434DA">
      <w:pPr>
        <w:spacing w:after="0" w:line="240" w:lineRule="auto"/>
      </w:pPr>
      <w:r>
        <w:separator/>
      </w:r>
    </w:p>
  </w:footnote>
  <w:footnote w:type="continuationSeparator" w:id="0">
    <w:p w14:paraId="4F32E51B" w14:textId="77777777" w:rsidR="001323B3" w:rsidRDefault="007434DA">
      <w:pPr>
        <w:spacing w:after="0" w:line="240" w:lineRule="auto"/>
      </w:pPr>
      <w:r>
        <w:continuationSeparator/>
      </w:r>
    </w:p>
  </w:footnote>
  <w:footnote w:id="1">
    <w:p w14:paraId="574296B6" w14:textId="77777777" w:rsidR="001323B3" w:rsidRDefault="007434DA">
      <w:pPr>
        <w:pStyle w:val="Notedebasdepage"/>
        <w:jc w:val="both"/>
      </w:pPr>
      <w:r>
        <w:rPr>
          <w:rStyle w:val="Appelnotedebasdep"/>
        </w:rPr>
        <w:footnoteRef/>
      </w:r>
      <w:r>
        <w:t xml:space="preserve"> Différentes placettes suivies depuis de nombreuses années sont disponibles. Par exemple celles en silvopastoralisme du Vallon Lamartine (collaboration herbipole) ou encore les placettes manipulant la densité en forêt (Tronçais, OPTMix, collaboration ONF) et seront mobilisées à cet effet.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7930"/>
    <w:multiLevelType w:val="hybridMultilevel"/>
    <w:tmpl w:val="05B40A30"/>
    <w:lvl w:ilvl="0" w:tplc="5892656E">
      <w:start w:val="2"/>
      <w:numFmt w:val="bullet"/>
      <w:lvlText w:val="-"/>
      <w:lvlJc w:val="left"/>
      <w:pPr>
        <w:ind w:left="720" w:hanging="360"/>
      </w:pPr>
      <w:rPr>
        <w:rFonts w:ascii="Calibri" w:eastAsia="Calibri" w:hAnsi="Calibri" w:cs="Calibri" w:hint="default"/>
      </w:rPr>
    </w:lvl>
    <w:lvl w:ilvl="1" w:tplc="86F4E430">
      <w:start w:val="1"/>
      <w:numFmt w:val="bullet"/>
      <w:lvlText w:val="o"/>
      <w:lvlJc w:val="left"/>
      <w:pPr>
        <w:ind w:left="1440" w:hanging="360"/>
      </w:pPr>
      <w:rPr>
        <w:rFonts w:ascii="Courier New" w:hAnsi="Courier New" w:cs="Courier New" w:hint="default"/>
      </w:rPr>
    </w:lvl>
    <w:lvl w:ilvl="2" w:tplc="B40A714E">
      <w:start w:val="1"/>
      <w:numFmt w:val="bullet"/>
      <w:lvlText w:val=""/>
      <w:lvlJc w:val="left"/>
      <w:pPr>
        <w:ind w:left="2160" w:hanging="360"/>
      </w:pPr>
      <w:rPr>
        <w:rFonts w:ascii="Wingdings" w:hAnsi="Wingdings" w:hint="default"/>
      </w:rPr>
    </w:lvl>
    <w:lvl w:ilvl="3" w:tplc="5490AE08">
      <w:start w:val="1"/>
      <w:numFmt w:val="bullet"/>
      <w:lvlText w:val=""/>
      <w:lvlJc w:val="left"/>
      <w:pPr>
        <w:ind w:left="2880" w:hanging="360"/>
      </w:pPr>
      <w:rPr>
        <w:rFonts w:ascii="Symbol" w:hAnsi="Symbol" w:hint="default"/>
      </w:rPr>
    </w:lvl>
    <w:lvl w:ilvl="4" w:tplc="ECB80424">
      <w:start w:val="1"/>
      <w:numFmt w:val="bullet"/>
      <w:lvlText w:val="o"/>
      <w:lvlJc w:val="left"/>
      <w:pPr>
        <w:ind w:left="3600" w:hanging="360"/>
      </w:pPr>
      <w:rPr>
        <w:rFonts w:ascii="Courier New" w:hAnsi="Courier New" w:cs="Courier New" w:hint="default"/>
      </w:rPr>
    </w:lvl>
    <w:lvl w:ilvl="5" w:tplc="1AC67472">
      <w:start w:val="1"/>
      <w:numFmt w:val="bullet"/>
      <w:lvlText w:val=""/>
      <w:lvlJc w:val="left"/>
      <w:pPr>
        <w:ind w:left="4320" w:hanging="360"/>
      </w:pPr>
      <w:rPr>
        <w:rFonts w:ascii="Wingdings" w:hAnsi="Wingdings" w:hint="default"/>
      </w:rPr>
    </w:lvl>
    <w:lvl w:ilvl="6" w:tplc="BCBCF634">
      <w:start w:val="1"/>
      <w:numFmt w:val="bullet"/>
      <w:lvlText w:val=""/>
      <w:lvlJc w:val="left"/>
      <w:pPr>
        <w:ind w:left="5040" w:hanging="360"/>
      </w:pPr>
      <w:rPr>
        <w:rFonts w:ascii="Symbol" w:hAnsi="Symbol" w:hint="default"/>
      </w:rPr>
    </w:lvl>
    <w:lvl w:ilvl="7" w:tplc="B60C6F98">
      <w:start w:val="1"/>
      <w:numFmt w:val="bullet"/>
      <w:lvlText w:val="o"/>
      <w:lvlJc w:val="left"/>
      <w:pPr>
        <w:ind w:left="5760" w:hanging="360"/>
      </w:pPr>
      <w:rPr>
        <w:rFonts w:ascii="Courier New" w:hAnsi="Courier New" w:cs="Courier New" w:hint="default"/>
      </w:rPr>
    </w:lvl>
    <w:lvl w:ilvl="8" w:tplc="8570B462">
      <w:start w:val="1"/>
      <w:numFmt w:val="bullet"/>
      <w:lvlText w:val=""/>
      <w:lvlJc w:val="left"/>
      <w:pPr>
        <w:ind w:left="6480" w:hanging="360"/>
      </w:pPr>
      <w:rPr>
        <w:rFonts w:ascii="Wingdings" w:hAnsi="Wingdings" w:hint="default"/>
      </w:rPr>
    </w:lvl>
  </w:abstractNum>
  <w:abstractNum w:abstractNumId="1" w15:restartNumberingAfterBreak="0">
    <w:nsid w:val="0C681A44"/>
    <w:multiLevelType w:val="hybridMultilevel"/>
    <w:tmpl w:val="D05E1FD6"/>
    <w:lvl w:ilvl="0" w:tplc="A44200FA">
      <w:start w:val="2"/>
      <w:numFmt w:val="bullet"/>
      <w:lvlText w:val="-"/>
      <w:lvlJc w:val="left"/>
      <w:pPr>
        <w:ind w:left="720" w:hanging="360"/>
      </w:pPr>
      <w:rPr>
        <w:rFonts w:ascii="Calibri" w:eastAsia="Calibri" w:hAnsi="Calibri" w:cs="Calibri" w:hint="default"/>
      </w:rPr>
    </w:lvl>
    <w:lvl w:ilvl="1" w:tplc="ECFE4FE0">
      <w:start w:val="1"/>
      <w:numFmt w:val="bullet"/>
      <w:lvlText w:val="o"/>
      <w:lvlJc w:val="left"/>
      <w:pPr>
        <w:ind w:left="1440" w:hanging="360"/>
      </w:pPr>
      <w:rPr>
        <w:rFonts w:ascii="Courier New" w:hAnsi="Courier New" w:cs="Courier New" w:hint="default"/>
      </w:rPr>
    </w:lvl>
    <w:lvl w:ilvl="2" w:tplc="9F70147A">
      <w:start w:val="1"/>
      <w:numFmt w:val="bullet"/>
      <w:lvlText w:val=""/>
      <w:lvlJc w:val="left"/>
      <w:pPr>
        <w:ind w:left="2160" w:hanging="360"/>
      </w:pPr>
      <w:rPr>
        <w:rFonts w:ascii="Wingdings" w:hAnsi="Wingdings" w:hint="default"/>
      </w:rPr>
    </w:lvl>
    <w:lvl w:ilvl="3" w:tplc="146CCC86">
      <w:start w:val="1"/>
      <w:numFmt w:val="bullet"/>
      <w:lvlText w:val=""/>
      <w:lvlJc w:val="left"/>
      <w:pPr>
        <w:ind w:left="2880" w:hanging="360"/>
      </w:pPr>
      <w:rPr>
        <w:rFonts w:ascii="Symbol" w:hAnsi="Symbol" w:hint="default"/>
      </w:rPr>
    </w:lvl>
    <w:lvl w:ilvl="4" w:tplc="DBB8C90C">
      <w:start w:val="1"/>
      <w:numFmt w:val="bullet"/>
      <w:lvlText w:val="o"/>
      <w:lvlJc w:val="left"/>
      <w:pPr>
        <w:ind w:left="3600" w:hanging="360"/>
      </w:pPr>
      <w:rPr>
        <w:rFonts w:ascii="Courier New" w:hAnsi="Courier New" w:cs="Courier New" w:hint="default"/>
      </w:rPr>
    </w:lvl>
    <w:lvl w:ilvl="5" w:tplc="4A40FC32">
      <w:start w:val="1"/>
      <w:numFmt w:val="bullet"/>
      <w:lvlText w:val=""/>
      <w:lvlJc w:val="left"/>
      <w:pPr>
        <w:ind w:left="4320" w:hanging="360"/>
      </w:pPr>
      <w:rPr>
        <w:rFonts w:ascii="Wingdings" w:hAnsi="Wingdings" w:hint="default"/>
      </w:rPr>
    </w:lvl>
    <w:lvl w:ilvl="6" w:tplc="A7D88DA6">
      <w:start w:val="1"/>
      <w:numFmt w:val="bullet"/>
      <w:lvlText w:val=""/>
      <w:lvlJc w:val="left"/>
      <w:pPr>
        <w:ind w:left="5040" w:hanging="360"/>
      </w:pPr>
      <w:rPr>
        <w:rFonts w:ascii="Symbol" w:hAnsi="Symbol" w:hint="default"/>
      </w:rPr>
    </w:lvl>
    <w:lvl w:ilvl="7" w:tplc="B7CC8994">
      <w:start w:val="1"/>
      <w:numFmt w:val="bullet"/>
      <w:lvlText w:val="o"/>
      <w:lvlJc w:val="left"/>
      <w:pPr>
        <w:ind w:left="5760" w:hanging="360"/>
      </w:pPr>
      <w:rPr>
        <w:rFonts w:ascii="Courier New" w:hAnsi="Courier New" w:cs="Courier New" w:hint="default"/>
      </w:rPr>
    </w:lvl>
    <w:lvl w:ilvl="8" w:tplc="8182BABE">
      <w:start w:val="1"/>
      <w:numFmt w:val="bullet"/>
      <w:lvlText w:val=""/>
      <w:lvlJc w:val="left"/>
      <w:pPr>
        <w:ind w:left="6480" w:hanging="360"/>
      </w:pPr>
      <w:rPr>
        <w:rFonts w:ascii="Wingdings" w:hAnsi="Wingdings" w:hint="default"/>
      </w:rPr>
    </w:lvl>
  </w:abstractNum>
  <w:abstractNum w:abstractNumId="2" w15:restartNumberingAfterBreak="0">
    <w:nsid w:val="373F299D"/>
    <w:multiLevelType w:val="hybridMultilevel"/>
    <w:tmpl w:val="46B2AB5A"/>
    <w:lvl w:ilvl="0" w:tplc="2804A4DA">
      <w:start w:val="1"/>
      <w:numFmt w:val="decimal"/>
      <w:lvlText w:val="%1)"/>
      <w:lvlJc w:val="left"/>
      <w:pPr>
        <w:ind w:left="720" w:hanging="360"/>
      </w:pPr>
      <w:rPr>
        <w:rFonts w:hint="default"/>
      </w:rPr>
    </w:lvl>
    <w:lvl w:ilvl="1" w:tplc="A84878E4">
      <w:start w:val="1"/>
      <w:numFmt w:val="lowerLetter"/>
      <w:lvlText w:val="%2."/>
      <w:lvlJc w:val="left"/>
      <w:pPr>
        <w:ind w:left="1440" w:hanging="360"/>
      </w:pPr>
    </w:lvl>
    <w:lvl w:ilvl="2" w:tplc="3ACC36C6">
      <w:start w:val="1"/>
      <w:numFmt w:val="lowerRoman"/>
      <w:lvlText w:val="%3."/>
      <w:lvlJc w:val="right"/>
      <w:pPr>
        <w:ind w:left="2160" w:hanging="180"/>
      </w:pPr>
    </w:lvl>
    <w:lvl w:ilvl="3" w:tplc="CFBC19EA">
      <w:start w:val="1"/>
      <w:numFmt w:val="decimal"/>
      <w:lvlText w:val="%4."/>
      <w:lvlJc w:val="left"/>
      <w:pPr>
        <w:ind w:left="2880" w:hanging="360"/>
      </w:pPr>
    </w:lvl>
    <w:lvl w:ilvl="4" w:tplc="67D02DDC">
      <w:start w:val="1"/>
      <w:numFmt w:val="lowerLetter"/>
      <w:lvlText w:val="%5."/>
      <w:lvlJc w:val="left"/>
      <w:pPr>
        <w:ind w:left="3600" w:hanging="360"/>
      </w:pPr>
    </w:lvl>
    <w:lvl w:ilvl="5" w:tplc="C15A2B50">
      <w:start w:val="1"/>
      <w:numFmt w:val="lowerRoman"/>
      <w:lvlText w:val="%6."/>
      <w:lvlJc w:val="right"/>
      <w:pPr>
        <w:ind w:left="4320" w:hanging="180"/>
      </w:pPr>
    </w:lvl>
    <w:lvl w:ilvl="6" w:tplc="17101D90">
      <w:start w:val="1"/>
      <w:numFmt w:val="decimal"/>
      <w:lvlText w:val="%7."/>
      <w:lvlJc w:val="left"/>
      <w:pPr>
        <w:ind w:left="5040" w:hanging="360"/>
      </w:pPr>
    </w:lvl>
    <w:lvl w:ilvl="7" w:tplc="7ED05896">
      <w:start w:val="1"/>
      <w:numFmt w:val="lowerLetter"/>
      <w:lvlText w:val="%8."/>
      <w:lvlJc w:val="left"/>
      <w:pPr>
        <w:ind w:left="5760" w:hanging="360"/>
      </w:pPr>
    </w:lvl>
    <w:lvl w:ilvl="8" w:tplc="E0D8611A">
      <w:start w:val="1"/>
      <w:numFmt w:val="lowerRoman"/>
      <w:lvlText w:val="%9."/>
      <w:lvlJc w:val="right"/>
      <w:pPr>
        <w:ind w:left="6480" w:hanging="180"/>
      </w:pPr>
    </w:lvl>
  </w:abstractNum>
  <w:abstractNum w:abstractNumId="3" w15:restartNumberingAfterBreak="0">
    <w:nsid w:val="75E11B6D"/>
    <w:multiLevelType w:val="hybridMultilevel"/>
    <w:tmpl w:val="B99C0718"/>
    <w:lvl w:ilvl="0" w:tplc="7C4AA428">
      <w:start w:val="1"/>
      <w:numFmt w:val="bullet"/>
      <w:lvlText w:val="-"/>
      <w:lvlJc w:val="left"/>
      <w:pPr>
        <w:ind w:left="720" w:hanging="360"/>
      </w:pPr>
      <w:rPr>
        <w:rFonts w:ascii="Calibri" w:eastAsia="Calibri" w:hAnsi="Calibri" w:cs="Calibri" w:hint="default"/>
      </w:rPr>
    </w:lvl>
    <w:lvl w:ilvl="1" w:tplc="41E09CBE">
      <w:start w:val="1"/>
      <w:numFmt w:val="bullet"/>
      <w:lvlText w:val="o"/>
      <w:lvlJc w:val="left"/>
      <w:pPr>
        <w:ind w:left="1440" w:hanging="360"/>
      </w:pPr>
      <w:rPr>
        <w:rFonts w:ascii="Courier New" w:hAnsi="Courier New" w:cs="Courier New" w:hint="default"/>
      </w:rPr>
    </w:lvl>
    <w:lvl w:ilvl="2" w:tplc="B17C726E">
      <w:start w:val="1"/>
      <w:numFmt w:val="bullet"/>
      <w:lvlText w:val=""/>
      <w:lvlJc w:val="left"/>
      <w:pPr>
        <w:ind w:left="2160" w:hanging="360"/>
      </w:pPr>
      <w:rPr>
        <w:rFonts w:ascii="Wingdings" w:hAnsi="Wingdings" w:hint="default"/>
      </w:rPr>
    </w:lvl>
    <w:lvl w:ilvl="3" w:tplc="503447B0">
      <w:start w:val="1"/>
      <w:numFmt w:val="bullet"/>
      <w:lvlText w:val=""/>
      <w:lvlJc w:val="left"/>
      <w:pPr>
        <w:ind w:left="2880" w:hanging="360"/>
      </w:pPr>
      <w:rPr>
        <w:rFonts w:ascii="Symbol" w:hAnsi="Symbol" w:hint="default"/>
      </w:rPr>
    </w:lvl>
    <w:lvl w:ilvl="4" w:tplc="B4A013E6">
      <w:start w:val="1"/>
      <w:numFmt w:val="bullet"/>
      <w:lvlText w:val="o"/>
      <w:lvlJc w:val="left"/>
      <w:pPr>
        <w:ind w:left="3600" w:hanging="360"/>
      </w:pPr>
      <w:rPr>
        <w:rFonts w:ascii="Courier New" w:hAnsi="Courier New" w:cs="Courier New" w:hint="default"/>
      </w:rPr>
    </w:lvl>
    <w:lvl w:ilvl="5" w:tplc="E6803A0A">
      <w:start w:val="1"/>
      <w:numFmt w:val="bullet"/>
      <w:lvlText w:val=""/>
      <w:lvlJc w:val="left"/>
      <w:pPr>
        <w:ind w:left="4320" w:hanging="360"/>
      </w:pPr>
      <w:rPr>
        <w:rFonts w:ascii="Wingdings" w:hAnsi="Wingdings" w:hint="default"/>
      </w:rPr>
    </w:lvl>
    <w:lvl w:ilvl="6" w:tplc="12D4AF26">
      <w:start w:val="1"/>
      <w:numFmt w:val="bullet"/>
      <w:lvlText w:val=""/>
      <w:lvlJc w:val="left"/>
      <w:pPr>
        <w:ind w:left="5040" w:hanging="360"/>
      </w:pPr>
      <w:rPr>
        <w:rFonts w:ascii="Symbol" w:hAnsi="Symbol" w:hint="default"/>
      </w:rPr>
    </w:lvl>
    <w:lvl w:ilvl="7" w:tplc="E654A4C2">
      <w:start w:val="1"/>
      <w:numFmt w:val="bullet"/>
      <w:lvlText w:val="o"/>
      <w:lvlJc w:val="left"/>
      <w:pPr>
        <w:ind w:left="5760" w:hanging="360"/>
      </w:pPr>
      <w:rPr>
        <w:rFonts w:ascii="Courier New" w:hAnsi="Courier New" w:cs="Courier New" w:hint="default"/>
      </w:rPr>
    </w:lvl>
    <w:lvl w:ilvl="8" w:tplc="3D30E660">
      <w:start w:val="1"/>
      <w:numFmt w:val="bullet"/>
      <w:lvlText w:val=""/>
      <w:lvlJc w:val="left"/>
      <w:pPr>
        <w:ind w:left="6480" w:hanging="360"/>
      </w:pPr>
      <w:rPr>
        <w:rFonts w:ascii="Wingdings" w:hAnsi="Wingdings" w:hint="default"/>
      </w:rPr>
    </w:lvl>
  </w:abstractNum>
  <w:num w:numId="1" w16cid:durableId="851728579">
    <w:abstractNumId w:val="3"/>
  </w:num>
  <w:num w:numId="2" w16cid:durableId="212891561">
    <w:abstractNumId w:val="2"/>
  </w:num>
  <w:num w:numId="3" w16cid:durableId="1714771884">
    <w:abstractNumId w:val="0"/>
  </w:num>
  <w:num w:numId="4" w16cid:durableId="81376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B3"/>
    <w:rsid w:val="001323B3"/>
    <w:rsid w:val="0074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BC74"/>
  <w15:docId w15:val="{2849F4EA-727E-4DB7-BC00-64FEC1B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eastAsia="Arial" w:hAnsi="Calibri Light"/>
      <w:color w:val="2F5496"/>
      <w:sz w:val="32"/>
      <w:szCs w:val="32"/>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Sansinterligne">
    <w:name w:val="No Spacing"/>
    <w:uiPriority w:val="1"/>
    <w:qFormat/>
    <w:rPr>
      <w:sz w:val="22"/>
      <w:szCs w:val="22"/>
      <w:lang w:eastAsia="en-US"/>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Tableausimple1">
    <w:name w:val="Plain Table 1"/>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Tableausimple2">
    <w:name w:val="Plain Table 2"/>
    <w:basedOn w:val="Tableau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TableauGrille1Clair">
    <w:name w:val="Grid Table 1 Light"/>
    <w:basedOn w:val="Tableau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TableauGrille2">
    <w:name w:val="Grid Table 2"/>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TableauGrille3">
    <w:name w:val="Grid Table 3"/>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TableauGrille4">
    <w:name w:val="Grid Table 4"/>
    <w:basedOn w:val="Tableau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TableauNormal"/>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TableauNormal"/>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TableauNormal"/>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TableauNormal"/>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TableauNormal"/>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TableauNormal"/>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TableauGrille5Fonc">
    <w:name w:val="Grid Table 5 Dark"/>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TableauGrille6Couleur">
    <w:name w:val="Grid Table 6 Colorful"/>
    <w:basedOn w:val="Tableau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TableauListe2">
    <w:name w:val="List Table 2"/>
    <w:basedOn w:val="Tableau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TableauNormal"/>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TableauNormal"/>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TableauNormal"/>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TableauNormal"/>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TableauNormal"/>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TableauListe3">
    <w:name w:val="List Table 3"/>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TableauListe4">
    <w:name w:val="List Table 4"/>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TableauNormal"/>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TableauNormal"/>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TableauNormal"/>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TableauNormal"/>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TableauNormal"/>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TableauListe5Fonc">
    <w:name w:val="List Table 5 Dark"/>
    <w:basedOn w:val="Tableau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TableauListe6Couleur">
    <w:name w:val="List Table 6 Colorful"/>
    <w:basedOn w:val="Tableau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blBorders>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blBorders>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pPr>
      <w:spacing w:after="160" w:line="259" w:lineRule="auto"/>
    </w:pPr>
    <w:rPr>
      <w:sz w:val="22"/>
      <w:szCs w:val="22"/>
      <w:lang w:eastAsia="en-US"/>
    </w:rPr>
  </w:style>
  <w:style w:type="paragraph" w:styleId="Tabledesillustrations">
    <w:name w:val="table of figures"/>
    <w:basedOn w:val="Normal"/>
    <w:next w:val="Normal"/>
    <w:uiPriority w:val="99"/>
    <w:unhideWhenUsed/>
    <w:pPr>
      <w:spacing w:after="0"/>
    </w:pPr>
  </w:style>
  <w:style w:type="character" w:customStyle="1" w:styleId="Titre1Car">
    <w:name w:val="Titre 1 Car"/>
    <w:link w:val="Titre1"/>
    <w:uiPriority w:val="9"/>
    <w:rPr>
      <w:rFonts w:ascii="Calibri Light" w:eastAsia="Arial" w:hAnsi="Calibri Light" w:cs="Times New Roman"/>
      <w:color w:val="2F5496"/>
      <w:sz w:val="32"/>
      <w:szCs w:val="32"/>
    </w:rPr>
  </w:style>
  <w:style w:type="paragraph" w:styleId="Paragraphedeliste">
    <w:name w:val="List Paragraph"/>
    <w:basedOn w:val="Normal"/>
    <w:uiPriority w:val="34"/>
    <w:qFormat/>
    <w:pPr>
      <w:spacing w:line="256" w:lineRule="auto"/>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rPr>
  </w:style>
  <w:style w:type="character" w:styleId="Lienhypertexte">
    <w:name w:val="Hyperlink"/>
    <w:uiPriority w:val="99"/>
    <w:unhideWhenUsed/>
    <w:rPr>
      <w:color w:val="0563C1"/>
      <w:u w:val="single"/>
    </w:rPr>
  </w:style>
  <w:style w:type="character" w:styleId="Mentionnonrsolue">
    <w:name w:val="Unresolved Mention"/>
    <w:uiPriority w:val="99"/>
    <w:semiHidden/>
    <w:unhideWhenUsed/>
    <w:rPr>
      <w:color w:val="605E5C"/>
      <w:shd w:val="clear" w:color="auto" w:fill="E1DFDD"/>
    </w:rPr>
  </w:style>
  <w:style w:type="character" w:styleId="Lienhypertextesuivivisit">
    <w:name w:val="FollowedHyperlink"/>
    <w:uiPriority w:val="99"/>
    <w:semiHidden/>
    <w:unhideWhenUsed/>
    <w:rPr>
      <w:color w:val="954F72"/>
      <w:u w:val="single"/>
    </w:rPr>
  </w:style>
  <w:style w:type="character" w:customStyle="1" w:styleId="mediumtext1">
    <w:name w:val="medium_text1"/>
    <w:rPr>
      <w:sz w:val="24"/>
      <w:szCs w:val="24"/>
    </w:rPr>
  </w:style>
  <w:style w:type="paragraph" w:styleId="Rvision">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7/s10342-022-01505-0"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philippe.balandier@inrae.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hilippe.malagoli@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6823794-A081-456C-89DC-45CA680A85DD}"/>
</file>

<file path=customXml/itemProps2.xml><?xml version="1.0" encoding="utf-8"?>
<ds:datastoreItem xmlns:ds="http://schemas.openxmlformats.org/officeDocument/2006/customXml" ds:itemID="{6012C6C6-846B-404A-9F2A-BA6086E6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11645</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Fontaine</dc:creator>
  <cp:keywords/>
  <dc:description/>
  <cp:lastModifiedBy>Lea BRUN</cp:lastModifiedBy>
  <cp:revision>2</cp:revision>
  <dcterms:created xsi:type="dcterms:W3CDTF">2024-04-30T08:32:00Z</dcterms:created>
  <dcterms:modified xsi:type="dcterms:W3CDTF">2024-04-30T08:32:00Z</dcterms:modified>
</cp:coreProperties>
</file>