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EE" w:rsidRDefault="00D60DEE" w:rsidP="001B77A2">
      <w:pPr>
        <w:pStyle w:val="Titre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C162A6" w:rsidRPr="00C162A6">
        <w:rPr>
          <w:rFonts w:ascii="Arial" w:hAnsi="Arial" w:cs="Arial"/>
          <w:noProof/>
          <w:sz w:val="20"/>
        </w:rPr>
        <w:drawing>
          <wp:inline distT="0" distB="0" distL="0" distR="0" wp14:anchorId="5C5D64C4" wp14:editId="05EF992F">
            <wp:extent cx="1557990" cy="628153"/>
            <wp:effectExtent l="0" t="0" r="4445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921" cy="62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</w:t>
      </w:r>
      <w:r w:rsidR="00C162A6">
        <w:rPr>
          <w:rFonts w:ascii="Arial" w:hAnsi="Arial" w:cs="Arial"/>
          <w:sz w:val="20"/>
        </w:rPr>
        <w:t xml:space="preserve">    </w:t>
      </w:r>
      <w:r w:rsidR="00C162A6" w:rsidRPr="00D95B9D">
        <w:rPr>
          <w:noProof/>
        </w:rPr>
        <w:drawing>
          <wp:inline distT="0" distB="0" distL="0" distR="0" wp14:anchorId="42DECF15" wp14:editId="78BB438C">
            <wp:extent cx="866693" cy="830201"/>
            <wp:effectExtent l="0" t="0" r="0" b="8255"/>
            <wp:docPr id="1" name="Image 1" descr="logo_UCA_carre_HD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CA_carre_HD_CMJ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16" cy="8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2A6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</w:t>
      </w:r>
      <w:r w:rsidR="00C162A6">
        <w:rPr>
          <w:rFonts w:ascii="Arial" w:hAnsi="Arial" w:cs="Arial"/>
          <w:sz w:val="20"/>
        </w:rPr>
        <w:t xml:space="preserve">       </w:t>
      </w:r>
      <w:r w:rsidR="00C162A6" w:rsidRPr="00C162A6">
        <w:rPr>
          <w:noProof/>
        </w:rPr>
        <w:drawing>
          <wp:inline distT="0" distB="0" distL="0" distR="0" wp14:anchorId="40AEC229" wp14:editId="0B5B6D16">
            <wp:extent cx="675861" cy="811033"/>
            <wp:effectExtent l="0" t="0" r="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145" cy="81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</w:t>
      </w:r>
      <w:r w:rsidR="00C162A6">
        <w:rPr>
          <w:rFonts w:ascii="Arial" w:hAnsi="Arial" w:cs="Arial"/>
          <w:sz w:val="20"/>
        </w:rPr>
        <w:t xml:space="preserve">           </w:t>
      </w:r>
      <w:r>
        <w:rPr>
          <w:noProof/>
        </w:rPr>
        <w:drawing>
          <wp:inline distT="0" distB="0" distL="0" distR="0" wp14:anchorId="60B22D8A" wp14:editId="2E89EAF0">
            <wp:extent cx="1269375" cy="591227"/>
            <wp:effectExtent l="0" t="0" r="6985" b="0"/>
            <wp:docPr id="4" name="Image 4" descr="Accueil - COMUE Université Bourgogne Franche-Com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- COMUE Université Bourgogne Franche-Comt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796" cy="61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DEE" w:rsidRDefault="00D60DEE" w:rsidP="001B77A2">
      <w:pPr>
        <w:pStyle w:val="Titre"/>
        <w:rPr>
          <w:rFonts w:ascii="Arial" w:hAnsi="Arial" w:cs="Arial"/>
          <w:sz w:val="20"/>
        </w:rPr>
      </w:pPr>
    </w:p>
    <w:p w:rsidR="00D60DEE" w:rsidRDefault="00D60DEE" w:rsidP="001B77A2">
      <w:pPr>
        <w:pStyle w:val="Titre"/>
        <w:rPr>
          <w:rFonts w:ascii="Arial" w:hAnsi="Arial" w:cs="Arial"/>
          <w:sz w:val="20"/>
        </w:rPr>
      </w:pPr>
    </w:p>
    <w:p w:rsidR="00D60DEE" w:rsidRPr="00EC146C" w:rsidRDefault="00D60DEE" w:rsidP="001B77A2">
      <w:pPr>
        <w:pStyle w:val="Titr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THESE AUVERWATCH 2020/2023</w:t>
      </w:r>
    </w:p>
    <w:p w:rsidR="00D60DEE" w:rsidRPr="00EC146C" w:rsidRDefault="00D60DEE" w:rsidP="001B77A2">
      <w:pPr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917"/>
      </w:tblGrid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Universités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b/>
                <w:sz w:val="22"/>
                <w:szCs w:val="22"/>
              </w:rPr>
            </w:pPr>
            <w:r>
              <w:rPr>
                <w:rFonts w:asciiTheme="majorHAnsi" w:hAnsiTheme="majorHAnsi" w:cs="Calibri Light"/>
                <w:sz w:val="22"/>
                <w:szCs w:val="22"/>
              </w:rPr>
              <w:t xml:space="preserve">Université Clermont-Auvergne / 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>Université Bourgogne Franche-Comté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Laboratoires d’accueil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>Institut de Chimie de Clermont-Ferrand (ICCF)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 xml:space="preserve"> UMR 6296 CNRS-UCA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/ Chrono-environnement UMR 6249 CNRS-UBFC 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Ecole Doctorale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>Ecole doctorale des Sciences Fondamentales, Université Clermont-Auvergne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 xml:space="preserve">Directeur/Directrice de thèse 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Hélène CELLE-JEANTON (Pr. OPGC 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 xml:space="preserve">(Observatoire de Physique du Globe de Clermont-Ferrand) 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>– UMR Chrono Environnement)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Co-Directeur/co-Directrice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Gilles MAILHOT (DR CNRS ICCF 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>–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OPGC)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Titre de la thèse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>Etude de la vulnérabilité et de la réactivité des hydrosystèmes alluviaux face aux changements globaux, à partir de l’exemple de la rivière Allier et sa nappe d’accompagnement.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10304A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Résumé</w:t>
            </w:r>
            <w:r w:rsidR="00D60DEE" w:rsidRPr="00466982">
              <w:rPr>
                <w:rFonts w:asciiTheme="majorHAnsi" w:hAnsiTheme="majorHAnsi" w:cs="Arial"/>
                <w:b/>
                <w:sz w:val="22"/>
                <w:szCs w:val="22"/>
              </w:rPr>
              <w:t xml:space="preserve"> du sujet proposé</w:t>
            </w:r>
          </w:p>
        </w:tc>
        <w:tc>
          <w:tcPr>
            <w:tcW w:w="6917" w:type="dxa"/>
          </w:tcPr>
          <w:p w:rsidR="00D60DEE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Cette thèse a pour objet l’hydrosystème de la rivière Allier, ressource en eau cruciale à la fois pour l’activité agricole en Limagne et pour la production d’eau potable régionale. Elle est centrée sur l’étude 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 xml:space="preserve">des relations nappe/rivière en milieu alluvial et leur évolutions face aux modifications climatiques et/ou socio-économiques. Elle porte à la fois sur des aspects quantitatifs (bilan hydrologique) et qualitatifs (réactivité </w:t>
            </w:r>
            <w:proofErr w:type="spellStart"/>
            <w:r>
              <w:rPr>
                <w:rFonts w:asciiTheme="majorHAnsi" w:hAnsiTheme="majorHAnsi" w:cs="Calibri Light"/>
                <w:sz w:val="22"/>
                <w:szCs w:val="22"/>
              </w:rPr>
              <w:t>biogéochmique</w:t>
            </w:r>
            <w:proofErr w:type="spellEnd"/>
            <w:r>
              <w:rPr>
                <w:rFonts w:asciiTheme="majorHAnsi" w:hAnsiTheme="majorHAnsi" w:cs="Calibri Light"/>
                <w:sz w:val="22"/>
                <w:szCs w:val="22"/>
              </w:rPr>
              <w:t xml:space="preserve"> du milieu alluvial face aux contaminants). </w:t>
            </w:r>
          </w:p>
          <w:p w:rsidR="00D60DEE" w:rsidRPr="00466982" w:rsidRDefault="001745BF" w:rsidP="00D60DEE">
            <w:pPr>
              <w:jc w:val="both"/>
              <w:rPr>
                <w:rFonts w:asciiTheme="majorHAnsi" w:hAnsiTheme="majorHAnsi" w:cs="Calibri Light"/>
                <w:b/>
                <w:sz w:val="22"/>
                <w:szCs w:val="22"/>
              </w:rPr>
            </w:pPr>
            <w:r>
              <w:rPr>
                <w:rFonts w:asciiTheme="majorHAnsi" w:hAnsiTheme="majorHAnsi" w:cs="Calibri Light"/>
                <w:sz w:val="22"/>
                <w:szCs w:val="22"/>
              </w:rPr>
              <w:t>La méthodologie s</w:t>
            </w:r>
            <w:bookmarkStart w:id="0" w:name="_GoBack"/>
            <w:bookmarkEnd w:id="0"/>
            <w:r w:rsidR="00D60DEE">
              <w:rPr>
                <w:rFonts w:asciiTheme="majorHAnsi" w:hAnsiTheme="majorHAnsi" w:cs="Calibri Light"/>
                <w:sz w:val="22"/>
                <w:szCs w:val="22"/>
              </w:rPr>
              <w:t>e fonde sur des approches multi-échelles (du bassin versant au piézomètre),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multi-outils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 xml:space="preserve"> (hydrodynamique, hydrochimie, modélisation numérique)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>, multi-compartiments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 xml:space="preserve"> (zone critique)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associant expérimentation de terrain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 xml:space="preserve">, 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>analyses en laboratoire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 xml:space="preserve">, 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>interprétation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 xml:space="preserve"> et</w:t>
            </w:r>
            <w:r w:rsidR="00D60DEE"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modélisation</w:t>
            </w:r>
            <w:r w:rsidR="00D60DEE">
              <w:rPr>
                <w:rFonts w:asciiTheme="majorHAnsi" w:hAnsiTheme="majorHAnsi" w:cs="Calibri Light"/>
                <w:sz w:val="22"/>
                <w:szCs w:val="22"/>
              </w:rPr>
              <w:t>.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Financement</w:t>
            </w:r>
          </w:p>
        </w:tc>
        <w:tc>
          <w:tcPr>
            <w:tcW w:w="6917" w:type="dxa"/>
          </w:tcPr>
          <w:p w:rsidR="00D60DEE" w:rsidRPr="002221F1" w:rsidRDefault="00D60DEE" w:rsidP="00D60DEE">
            <w:pPr>
              <w:jc w:val="both"/>
              <w:rPr>
                <w:rFonts w:asciiTheme="majorHAnsi" w:hAnsiTheme="majorHAnsi" w:cs="Calibri Light"/>
                <w:b/>
                <w:sz w:val="22"/>
                <w:szCs w:val="22"/>
              </w:rPr>
            </w:pPr>
            <w:r w:rsidRPr="002221F1">
              <w:rPr>
                <w:rFonts w:asciiTheme="majorHAnsi" w:hAnsiTheme="majorHAnsi" w:cs="Calibri Light"/>
                <w:b/>
                <w:sz w:val="22"/>
                <w:szCs w:val="22"/>
              </w:rPr>
              <w:t>Agence de l’Eau Loire Bretagne + I-SITE CAP 20-25 (Clermont-</w:t>
            </w:r>
            <w:proofErr w:type="spellStart"/>
            <w:r w:rsidRPr="002221F1">
              <w:rPr>
                <w:rFonts w:asciiTheme="majorHAnsi" w:hAnsiTheme="majorHAnsi" w:cs="Calibri Light"/>
                <w:b/>
                <w:sz w:val="22"/>
                <w:szCs w:val="22"/>
              </w:rPr>
              <w:t>Fd</w:t>
            </w:r>
            <w:proofErr w:type="spellEnd"/>
            <w:r w:rsidRPr="002221F1">
              <w:rPr>
                <w:rFonts w:asciiTheme="majorHAnsi" w:hAnsiTheme="majorHAnsi" w:cs="Calibri Light"/>
                <w:b/>
                <w:sz w:val="22"/>
                <w:szCs w:val="22"/>
              </w:rPr>
              <w:t>). Salaire mensuel compris entre 1400 et 1500€ net.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rPr>
                <w:rFonts w:asciiTheme="majorHAnsi" w:hAnsiTheme="majorHAnsi" w:cs="Calibri Light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Connaissances et compétences requises pour le</w:t>
            </w:r>
            <w:r w:rsidRPr="00466982">
              <w:rPr>
                <w:rFonts w:asciiTheme="majorHAnsi" w:hAnsiTheme="majorHAnsi" w:cs="Calibri Light"/>
                <w:b/>
                <w:sz w:val="22"/>
                <w:szCs w:val="22"/>
              </w:rPr>
              <w:t xml:space="preserve"> </w:t>
            </w: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doctorant</w:t>
            </w:r>
          </w:p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>Le (la) candidat(e) devra idéalement présenter une formation en sciences de la Terre, hydrogéologie-hydrochimie ; avec si possible une maîtrise des approches par modélisation numérique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>. Le(La)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candidat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>(e)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 xml:space="preserve">sera 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capable de s'adapter rapidement au travail avec des interlocuteurs issus de domaines de compétences variées, y-compris non académiques pour la partie transfert de connaissances 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>auprès des collectivités territoriales</w:t>
            </w:r>
            <w:r w:rsidRPr="00466982">
              <w:rPr>
                <w:rFonts w:asciiTheme="majorHAnsi" w:hAnsiTheme="majorHAnsi" w:cs="Calibri Light"/>
                <w:sz w:val="22"/>
                <w:szCs w:val="22"/>
              </w:rPr>
              <w:t xml:space="preserve">. C’est un sujet idéal pour un candidat ayant une vision globale des hydrosystèmes, susceptible d’intégrer les différentes approches disciplinaires nécessaires à une meilleure compréhension de leur fonctionnement et capable d’interagir tant avec la communauté scientifique qu’avec les gestionnaires de la ressource en eau. </w:t>
            </w:r>
          </w:p>
        </w:tc>
      </w:tr>
      <w:tr w:rsidR="00D60DEE" w:rsidRPr="00466982" w:rsidTr="001B77A2">
        <w:tc>
          <w:tcPr>
            <w:tcW w:w="2830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66982">
              <w:rPr>
                <w:rFonts w:asciiTheme="majorHAnsi" w:hAnsiTheme="majorHAnsi" w:cs="Arial"/>
                <w:b/>
                <w:sz w:val="22"/>
                <w:szCs w:val="22"/>
              </w:rPr>
              <w:t>Observation</w:t>
            </w:r>
          </w:p>
        </w:tc>
        <w:tc>
          <w:tcPr>
            <w:tcW w:w="6917" w:type="dxa"/>
          </w:tcPr>
          <w:p w:rsidR="00D60DEE" w:rsidRPr="00466982" w:rsidRDefault="00D60DEE" w:rsidP="00D60DEE">
            <w:pPr>
              <w:jc w:val="both"/>
              <w:rPr>
                <w:rFonts w:asciiTheme="majorHAnsi" w:hAnsiTheme="majorHAnsi" w:cs="Calibri Light"/>
                <w:sz w:val="22"/>
                <w:szCs w:val="22"/>
              </w:rPr>
            </w:pPr>
            <w:r w:rsidRPr="00466982">
              <w:rPr>
                <w:rFonts w:asciiTheme="majorHAnsi" w:hAnsiTheme="majorHAnsi" w:cs="Calibri Light"/>
                <w:sz w:val="22"/>
                <w:szCs w:val="22"/>
              </w:rPr>
              <w:t>Le travail de thèse sera réalisé majoritairement à l’Université de Bourgogne Franche-Comté, Besançon</w:t>
            </w:r>
            <w:r>
              <w:rPr>
                <w:rFonts w:asciiTheme="majorHAnsi" w:hAnsiTheme="majorHAnsi" w:cs="Calibri Light"/>
                <w:sz w:val="22"/>
                <w:szCs w:val="22"/>
              </w:rPr>
              <w:t>.</w:t>
            </w:r>
          </w:p>
        </w:tc>
      </w:tr>
    </w:tbl>
    <w:p w:rsidR="00D60DEE" w:rsidRDefault="00D60DEE" w:rsidP="001B77A2">
      <w:pPr>
        <w:pStyle w:val="Corpsdetexte"/>
        <w:rPr>
          <w:rFonts w:asciiTheme="majorHAnsi" w:hAnsiTheme="majorHAnsi" w:cs="Arial"/>
          <w:i w:val="0"/>
          <w:sz w:val="22"/>
          <w:szCs w:val="22"/>
        </w:rPr>
      </w:pPr>
    </w:p>
    <w:p w:rsidR="00D60DEE" w:rsidRDefault="00D60DEE" w:rsidP="001B77A2">
      <w:pPr>
        <w:pStyle w:val="Corpsdetexte"/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 xml:space="preserve">Contacts : </w:t>
      </w:r>
    </w:p>
    <w:p w:rsidR="00D60DEE" w:rsidRDefault="00D60DEE" w:rsidP="001B77A2">
      <w:pPr>
        <w:pStyle w:val="Corpsdetexte"/>
        <w:rPr>
          <w:rFonts w:asciiTheme="majorHAnsi" w:hAnsiTheme="majorHAnsi" w:cs="Arial"/>
          <w:i w:val="0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>Hélène CELLE-JEANTON (</w:t>
      </w:r>
      <w:hyperlink r:id="rId9" w:history="1">
        <w:r w:rsidRPr="004C2466">
          <w:rPr>
            <w:rStyle w:val="Lienhypertexte"/>
            <w:rFonts w:asciiTheme="majorHAnsi" w:hAnsiTheme="majorHAnsi" w:cs="Arial"/>
            <w:i w:val="0"/>
            <w:sz w:val="22"/>
            <w:szCs w:val="22"/>
          </w:rPr>
          <w:t>helene.jeanton@univ-fcomte.fr</w:t>
        </w:r>
      </w:hyperlink>
      <w:r>
        <w:rPr>
          <w:rFonts w:asciiTheme="majorHAnsi" w:hAnsiTheme="majorHAnsi" w:cs="Arial"/>
          <w:i w:val="0"/>
          <w:sz w:val="22"/>
          <w:szCs w:val="22"/>
        </w:rPr>
        <w:t>; tel : 06 33 59 01 04)</w:t>
      </w:r>
    </w:p>
    <w:p w:rsidR="00D60DEE" w:rsidRDefault="00D60DEE" w:rsidP="001B77A2">
      <w:pPr>
        <w:pStyle w:val="Corpsdetexte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i w:val="0"/>
          <w:sz w:val="22"/>
          <w:szCs w:val="22"/>
        </w:rPr>
        <w:t>Gilles MAILHOT (</w:t>
      </w:r>
      <w:hyperlink r:id="rId10" w:history="1">
        <w:r w:rsidRPr="004C2466">
          <w:rPr>
            <w:rStyle w:val="Lienhypertexte"/>
            <w:rFonts w:asciiTheme="majorHAnsi" w:hAnsiTheme="majorHAnsi" w:cs="Arial"/>
            <w:i w:val="0"/>
            <w:sz w:val="22"/>
            <w:szCs w:val="22"/>
          </w:rPr>
          <w:t>gilles.mailhot@uca.fr</w:t>
        </w:r>
      </w:hyperlink>
      <w:r>
        <w:rPr>
          <w:rFonts w:asciiTheme="majorHAnsi" w:hAnsiTheme="majorHAnsi" w:cs="Arial"/>
          <w:i w:val="0"/>
          <w:sz w:val="22"/>
          <w:szCs w:val="22"/>
        </w:rPr>
        <w:t>, tel : 06 61 63 99 20)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:rsidR="00E652BA" w:rsidRDefault="00E652BA" w:rsidP="001B77A2">
      <w:pPr>
        <w:pStyle w:val="Corpsdetexte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F01A7" w:rsidTr="00B6454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01A7" w:rsidRDefault="004F01A7" w:rsidP="004F01A7">
            <w:pPr>
              <w:pStyle w:val="Corpsdetexte"/>
              <w:numPr>
                <w:ilvl w:val="0"/>
                <w:numId w:val="14"/>
              </w:numPr>
              <w:ind w:left="-830" w:firstLine="0"/>
              <w:rPr>
                <w:rFonts w:asciiTheme="majorHAnsi" w:hAnsiTheme="majorHAnsi" w:cs="Arial"/>
                <w:b/>
                <w:i w:val="0"/>
                <w:sz w:val="22"/>
                <w:lang w:eastAsia="en-US"/>
              </w:rPr>
            </w:pPr>
            <w:r>
              <w:rPr>
                <w:rFonts w:asciiTheme="majorHAnsi" w:hAnsiTheme="majorHAnsi" w:cs="Arial"/>
                <w:b/>
                <w:i w:val="0"/>
                <w:sz w:val="22"/>
                <w:lang w:eastAsia="en-US"/>
              </w:rPr>
              <w:lastRenderedPageBreak/>
              <w:t>1-Contexte de la thèse</w:t>
            </w:r>
          </w:p>
        </w:tc>
      </w:tr>
      <w:tr w:rsidR="004F01A7" w:rsidTr="00B6454A">
        <w:trPr>
          <w:trHeight w:val="52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4A" w:rsidRPr="00D93AEA" w:rsidRDefault="00253C80" w:rsidP="006376E4">
            <w:pPr>
              <w:jc w:val="both"/>
              <w:rPr>
                <w:rFonts w:asciiTheme="majorHAnsi" w:hAnsiTheme="majorHAnsi" w:cs="Calibri Light"/>
                <w:sz w:val="20"/>
                <w:lang w:eastAsia="en-US"/>
              </w:rPr>
            </w:pP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Le projet de thèse se focalise sur les aquifères alluviaux qui constituent des réservoirs importants et stratégiques de ressource en eau grâce notamment à leur facilité d’exploitation, leur productivité et la qualité physico-chimique de l’eau exploitée (</w:t>
            </w:r>
            <w:proofErr w:type="spellStart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Moyce</w:t>
            </w:r>
            <w:proofErr w:type="spellEnd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et al., 2006; </w:t>
            </w:r>
            <w:proofErr w:type="spellStart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Menció</w:t>
            </w:r>
            <w:proofErr w:type="spellEnd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et al., 2013). Les nappes alluviales produisent ainsi, en France, plus de la moitié des ressources en eau potable. Toutefois, ce sont des nappes libres et peu profondes, ce qui augmente leur vulnérabilité 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face à </w:t>
            </w: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des événements climatiques de moins en moins exceptionnels tels que les crues ou sécheresses extrêmes et à l’augmentation des rejets domestiques, agricoles et industriels dans le milieu naturel (</w:t>
            </w:r>
            <w:proofErr w:type="spellStart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Chae</w:t>
            </w:r>
            <w:proofErr w:type="spellEnd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et al., 2004; </w:t>
            </w:r>
            <w:proofErr w:type="spellStart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Négrel</w:t>
            </w:r>
            <w:proofErr w:type="spellEnd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et al., 2004; Andrade and </w:t>
            </w:r>
            <w:proofErr w:type="spellStart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Stigter</w:t>
            </w:r>
            <w:proofErr w:type="spellEnd"/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, 2011). </w:t>
            </w:r>
          </w:p>
          <w:p w:rsidR="0010304A" w:rsidRPr="00D93AEA" w:rsidRDefault="0010304A" w:rsidP="006376E4">
            <w:pPr>
              <w:jc w:val="both"/>
              <w:rPr>
                <w:rFonts w:asciiTheme="majorHAnsi" w:hAnsiTheme="majorHAnsi" w:cs="Calibri Light"/>
                <w:sz w:val="20"/>
                <w:lang w:eastAsia="en-US"/>
              </w:rPr>
            </w:pPr>
          </w:p>
          <w:p w:rsidR="0010304A" w:rsidRPr="00D93AEA" w:rsidRDefault="00253C80" w:rsidP="006376E4">
            <w:pPr>
              <w:jc w:val="both"/>
              <w:rPr>
                <w:rFonts w:asciiTheme="majorHAnsi" w:hAnsiTheme="majorHAnsi" w:cs="Calibri Light"/>
                <w:sz w:val="20"/>
                <w:lang w:eastAsia="en-US"/>
              </w:rPr>
            </w:pP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L’hydrosystème de l’Allie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r</w:t>
            </w: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constitue un bon exemple d’étude de ces milieux particuliers compte tenu de son intérêt régional 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>pour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 : 1) 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la </w:t>
            </w: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production d’eau potable (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60 % de l’</w:t>
            </w:r>
            <w:r w:rsidR="006376E4" w:rsidRPr="00D93AEA">
              <w:rPr>
                <w:rFonts w:ascii="Calibri Light" w:hAnsi="Calibri Light" w:cs="Calibri Light"/>
                <w:sz w:val="20"/>
              </w:rPr>
              <w:t xml:space="preserve">approvisionnement en eau 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potable du Puy-de-Dôme et 68% de l’Allier) ; 2)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sym w:font="Symbol" w:char="F020"/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>l’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irrigation de la plaine de la Limagne majoritairement dédiée à l’agriculture. Ces besoins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socio-économiques fondamentaux influencent néanmoins fortement la ressource dont ils dépendent que ce soit en terme de 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dégradation de la qualité des e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>a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ux 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ou d’utilisation accrue. Ces impacts socio-économiques, en perpétuelle évolution, </w:t>
            </w:r>
            <w:r w:rsidR="00D93AEA" w:rsidRPr="00D93AEA">
              <w:rPr>
                <w:rFonts w:asciiTheme="majorHAnsi" w:hAnsiTheme="majorHAnsi" w:cs="Calibri Light"/>
                <w:sz w:val="20"/>
                <w:lang w:eastAsia="en-US"/>
              </w:rPr>
              <w:t>viennent s’ajouter aux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 aléas climatiques observés régionalement ces dernières années (épisodes de sécheresse intense)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>. Il convient donc de mieux étudier les ressources en eau et d</w:t>
            </w:r>
            <w:r w:rsidR="00D93AEA" w:rsidRPr="00D93AEA">
              <w:rPr>
                <w:rFonts w:asciiTheme="majorHAnsi" w:hAnsiTheme="majorHAnsi" w:cs="Calibri Light"/>
                <w:sz w:val="20"/>
                <w:lang w:eastAsia="en-US"/>
              </w:rPr>
              <w:t>’étudier leur potentielle évolution en qualité et quantité fac</w:t>
            </w:r>
            <w:r w:rsidR="0010304A" w:rsidRPr="00D93AEA">
              <w:rPr>
                <w:rFonts w:asciiTheme="majorHAnsi" w:hAnsiTheme="majorHAnsi" w:cs="Calibri Light"/>
                <w:sz w:val="20"/>
                <w:lang w:eastAsia="en-US"/>
              </w:rPr>
              <w:t>e au changement global</w:t>
            </w:r>
            <w:r w:rsidR="006376E4"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. </w:t>
            </w:r>
          </w:p>
          <w:p w:rsidR="0010304A" w:rsidRPr="00D93AEA" w:rsidRDefault="0010304A" w:rsidP="006376E4">
            <w:pPr>
              <w:jc w:val="both"/>
              <w:rPr>
                <w:rFonts w:asciiTheme="majorHAnsi" w:hAnsiTheme="majorHAnsi" w:cs="Calibri Light"/>
                <w:sz w:val="20"/>
                <w:lang w:eastAsia="en-US"/>
              </w:rPr>
            </w:pPr>
          </w:p>
          <w:p w:rsidR="006376E4" w:rsidRPr="00D93AEA" w:rsidRDefault="006376E4" w:rsidP="006376E4">
            <w:pPr>
              <w:jc w:val="both"/>
              <w:rPr>
                <w:rFonts w:asciiTheme="majorHAnsi" w:hAnsiTheme="majorHAnsi" w:cs="Calibri Light"/>
                <w:sz w:val="20"/>
                <w:lang w:eastAsia="en-US"/>
              </w:rPr>
            </w:pP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>A cette fin, la thèse AUVERWATCH vise à mieux comprendre l’hydrosystème alluvial et son évolution dans un contexte de changement global (climatique et/ou socio-économique). L’originalité du projet repose sur une approche :</w:t>
            </w:r>
          </w:p>
          <w:p w:rsidR="006376E4" w:rsidRPr="00D93AEA" w:rsidRDefault="006376E4" w:rsidP="00B6454A">
            <w:pPr>
              <w:pStyle w:val="Paragraphedeliste"/>
              <w:numPr>
                <w:ilvl w:val="0"/>
                <w:numId w:val="18"/>
              </w:numPr>
              <w:spacing w:after="0"/>
              <w:ind w:left="607" w:hanging="247"/>
              <w:jc w:val="both"/>
              <w:rPr>
                <w:rFonts w:asciiTheme="majorHAnsi" w:hAnsiTheme="majorHAnsi" w:cs="Calibri Light"/>
                <w:sz w:val="20"/>
                <w:szCs w:val="20"/>
              </w:rPr>
            </w:pPr>
            <w:r w:rsidRPr="00D93AEA">
              <w:rPr>
                <w:rFonts w:asciiTheme="majorHAnsi" w:hAnsiTheme="majorHAnsi" w:cs="Calibri Light"/>
                <w:sz w:val="20"/>
                <w:szCs w:val="20"/>
              </w:rPr>
              <w:t>multi-échelle, du bassin versant de l’Allier, au site atelier, puis au modèle analogique de terrain ;</w:t>
            </w:r>
          </w:p>
          <w:p w:rsidR="006376E4" w:rsidRPr="00D93AEA" w:rsidRDefault="006376E4" w:rsidP="00B6454A">
            <w:pPr>
              <w:pStyle w:val="Paragraphedeliste"/>
              <w:numPr>
                <w:ilvl w:val="0"/>
                <w:numId w:val="18"/>
              </w:numPr>
              <w:spacing w:after="0"/>
              <w:ind w:left="607" w:hanging="24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93AEA">
              <w:rPr>
                <w:rFonts w:asciiTheme="majorHAnsi" w:hAnsiTheme="majorHAnsi"/>
                <w:sz w:val="20"/>
                <w:szCs w:val="20"/>
              </w:rPr>
              <w:t>quantitative et qualitative des ressources, les aspects contaminations seront notamment abordés ;</w:t>
            </w:r>
          </w:p>
          <w:p w:rsidR="004F01A7" w:rsidRPr="00D93AEA" w:rsidRDefault="006376E4" w:rsidP="00B6454A">
            <w:pPr>
              <w:pStyle w:val="Paragraphedeliste"/>
              <w:numPr>
                <w:ilvl w:val="0"/>
                <w:numId w:val="18"/>
              </w:numPr>
              <w:spacing w:after="0"/>
              <w:ind w:left="607" w:hanging="247"/>
              <w:jc w:val="both"/>
              <w:rPr>
                <w:rStyle w:val="fontstyle01"/>
                <w:rFonts w:asciiTheme="minorHAnsi" w:hAnsiTheme="minorHAnsi"/>
                <w:color w:val="auto"/>
                <w:sz w:val="20"/>
                <w:szCs w:val="20"/>
              </w:rPr>
            </w:pPr>
            <w:r w:rsidRPr="00D93AEA">
              <w:rPr>
                <w:rFonts w:asciiTheme="majorHAnsi" w:hAnsiTheme="majorHAnsi"/>
                <w:sz w:val="20"/>
                <w:szCs w:val="20"/>
              </w:rPr>
              <w:t>par modélisation numériques pour prévoir le comportement futur de l’hydrosystème</w:t>
            </w:r>
            <w:r w:rsidRPr="00D93AEA">
              <w:rPr>
                <w:rStyle w:val="fontstyle01"/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D93AEA" w:rsidRPr="00D93AEA" w:rsidRDefault="00D93AEA" w:rsidP="00D93AEA">
            <w:pPr>
              <w:pStyle w:val="Paragraphedeliste"/>
              <w:spacing w:after="0"/>
              <w:ind w:left="607"/>
              <w:jc w:val="both"/>
              <w:rPr>
                <w:sz w:val="20"/>
                <w:szCs w:val="20"/>
              </w:rPr>
            </w:pPr>
          </w:p>
        </w:tc>
      </w:tr>
      <w:tr w:rsidR="006376E4" w:rsidTr="00B6454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76E4" w:rsidRPr="00D93AEA" w:rsidRDefault="006376E4" w:rsidP="001B77A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lang w:eastAsia="en-US"/>
              </w:rPr>
            </w:pPr>
            <w:r w:rsidRPr="00D93AEA">
              <w:rPr>
                <w:rFonts w:asciiTheme="majorHAnsi" w:hAnsiTheme="majorHAnsi" w:cs="Arial"/>
                <w:b/>
                <w:color w:val="000000" w:themeColor="text1"/>
                <w:sz w:val="20"/>
                <w:lang w:eastAsia="en-US"/>
              </w:rPr>
              <w:t>2-Questionnement scientifiques</w:t>
            </w:r>
          </w:p>
        </w:tc>
      </w:tr>
      <w:tr w:rsidR="006376E4" w:rsidRPr="00B6454A" w:rsidTr="00B6454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4" w:rsidRPr="00D93AEA" w:rsidRDefault="00B6454A" w:rsidP="00B6454A">
            <w:pPr>
              <w:pStyle w:val="Paragraphedeliste"/>
              <w:numPr>
                <w:ilvl w:val="0"/>
                <w:numId w:val="19"/>
              </w:numPr>
              <w:ind w:left="307" w:hanging="307"/>
              <w:jc w:val="both"/>
              <w:rPr>
                <w:rFonts w:asciiTheme="majorHAnsi" w:hAnsiTheme="majorHAnsi" w:cs="Calibri Light"/>
                <w:sz w:val="20"/>
                <w:szCs w:val="20"/>
              </w:rPr>
            </w:pPr>
            <w:r w:rsidRPr="00D93AEA">
              <w:rPr>
                <w:rFonts w:asciiTheme="majorHAnsi" w:hAnsiTheme="majorHAnsi" w:cs="Calibri Light"/>
                <w:sz w:val="20"/>
                <w:szCs w:val="20"/>
              </w:rPr>
              <w:t>Du point de vue quantitatif, q</w:t>
            </w:r>
            <w:r w:rsidR="006376E4"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uelles sont les quantités d’eau disponibles sur le bassin versant de l’Allier ? Quelle seront leurs évolutions futures en fonction des modifications de contraintes socio-économiques 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(exploitation) </w:t>
            </w:r>
            <w:r w:rsidR="006376E4" w:rsidRPr="00D93AEA">
              <w:rPr>
                <w:rFonts w:asciiTheme="majorHAnsi" w:hAnsiTheme="majorHAnsi" w:cs="Calibri Light"/>
                <w:sz w:val="20"/>
                <w:szCs w:val="20"/>
              </w:rPr>
              <w:t>et/ou climatiques 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(sécheresses de plus en plus fréquentes) </w:t>
            </w:r>
            <w:r w:rsidR="006376E4" w:rsidRPr="00D93AEA">
              <w:rPr>
                <w:rFonts w:asciiTheme="majorHAnsi" w:hAnsiTheme="majorHAnsi" w:cs="Calibri Light"/>
                <w:sz w:val="20"/>
                <w:szCs w:val="20"/>
              </w:rPr>
              <w:t>?</w:t>
            </w:r>
          </w:p>
          <w:p w:rsidR="00B6454A" w:rsidRPr="00D93AEA" w:rsidRDefault="00B6454A" w:rsidP="00D93AEA">
            <w:pPr>
              <w:pStyle w:val="Paragraphedeliste"/>
              <w:numPr>
                <w:ilvl w:val="0"/>
                <w:numId w:val="19"/>
              </w:numPr>
              <w:spacing w:after="0"/>
              <w:ind w:left="306" w:hanging="306"/>
              <w:jc w:val="both"/>
              <w:rPr>
                <w:rFonts w:asciiTheme="majorHAnsi" w:hAnsiTheme="majorHAnsi" w:cs="Calibri Light"/>
                <w:sz w:val="20"/>
                <w:szCs w:val="20"/>
              </w:rPr>
            </w:pPr>
            <w:r w:rsidRPr="00D93AEA">
              <w:rPr>
                <w:rFonts w:asciiTheme="majorHAnsi" w:hAnsiTheme="majorHAnsi" w:cs="Calibri Light"/>
                <w:sz w:val="20"/>
                <w:szCs w:val="20"/>
              </w:rPr>
              <w:t>Du point de vue qualitatif, à</w:t>
            </w:r>
            <w:r w:rsidR="006376E4"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 quelles contaminations les eaux alluviales sont</w:t>
            </w:r>
            <w:r w:rsidR="00D93AEA">
              <w:rPr>
                <w:rFonts w:asciiTheme="majorHAnsi" w:hAnsiTheme="majorHAnsi" w:cs="Calibri Light"/>
                <w:sz w:val="20"/>
                <w:szCs w:val="20"/>
              </w:rPr>
              <w:t>-elles</w:t>
            </w:r>
            <w:r w:rsidR="006376E4"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 confrontées ?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 Comment évolue la qualité de l’</w:t>
            </w:r>
            <w:r w:rsidR="00D93AEA">
              <w:rPr>
                <w:rFonts w:asciiTheme="majorHAnsi" w:hAnsiTheme="majorHAnsi" w:cs="Calibri Light"/>
                <w:sz w:val="20"/>
                <w:szCs w:val="20"/>
              </w:rPr>
              <w:t xml:space="preserve">eau depuis la mise en place du </w:t>
            </w:r>
            <w:r w:rsidR="00D93AEA" w:rsidRPr="00D93AEA">
              <w:rPr>
                <w:rFonts w:asciiTheme="majorHAnsi" w:hAnsiTheme="majorHAnsi" w:cs="Calibri Light"/>
                <w:sz w:val="20"/>
                <w:szCs w:val="20"/>
              </w:rPr>
              <w:t>SO AUVERWATCH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 au niveau du champ captant du </w:t>
            </w:r>
            <w:r w:rsidR="00D93AEA">
              <w:rPr>
                <w:rFonts w:asciiTheme="majorHAnsi" w:hAnsiTheme="majorHAnsi" w:cs="Calibri Light"/>
                <w:sz w:val="20"/>
                <w:szCs w:val="20"/>
              </w:rPr>
              <w:t>v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>al d’</w:t>
            </w:r>
            <w:r w:rsidR="00D93AEA">
              <w:rPr>
                <w:rFonts w:asciiTheme="majorHAnsi" w:hAnsiTheme="majorHAnsi" w:cs="Calibri Light"/>
                <w:sz w:val="20"/>
                <w:szCs w:val="20"/>
              </w:rPr>
              <w:t>Allier ? Q</w:t>
            </w:r>
            <w:r w:rsidRPr="00D93AEA">
              <w:rPr>
                <w:rFonts w:asciiTheme="majorHAnsi" w:hAnsiTheme="majorHAnsi" w:cs="Calibri Light"/>
                <w:sz w:val="20"/>
                <w:szCs w:val="20"/>
              </w:rPr>
              <w:t>uelles sont les perspectives d’évolution ?</w:t>
            </w:r>
          </w:p>
          <w:p w:rsidR="006376E4" w:rsidRDefault="006376E4" w:rsidP="00D93AEA">
            <w:pPr>
              <w:pStyle w:val="Paragraphedeliste"/>
              <w:numPr>
                <w:ilvl w:val="0"/>
                <w:numId w:val="19"/>
              </w:numPr>
              <w:spacing w:after="0"/>
              <w:ind w:left="306" w:hanging="306"/>
              <w:jc w:val="both"/>
              <w:rPr>
                <w:rFonts w:asciiTheme="majorHAnsi" w:hAnsiTheme="majorHAnsi" w:cs="Calibri Light"/>
                <w:sz w:val="20"/>
                <w:szCs w:val="20"/>
              </w:rPr>
            </w:pPr>
            <w:r w:rsidRPr="00D93AEA">
              <w:rPr>
                <w:rFonts w:asciiTheme="majorHAnsi" w:hAnsiTheme="majorHAnsi" w:cs="Calibri Light"/>
                <w:sz w:val="20"/>
                <w:szCs w:val="20"/>
              </w:rPr>
              <w:t xml:space="preserve">Comment réagit le milieu alluvial face aux contaminations en terme de transport, dégradation, stockage/relargage des contaminants ? </w:t>
            </w:r>
          </w:p>
          <w:p w:rsidR="00D93AEA" w:rsidRPr="00D93AEA" w:rsidRDefault="00D93AEA" w:rsidP="00D93AEA">
            <w:pPr>
              <w:pStyle w:val="Paragraphedeliste"/>
              <w:spacing w:after="0"/>
              <w:ind w:left="306"/>
              <w:jc w:val="both"/>
              <w:rPr>
                <w:rFonts w:asciiTheme="majorHAnsi" w:hAnsiTheme="majorHAnsi" w:cs="Calibri Light"/>
                <w:sz w:val="20"/>
                <w:szCs w:val="20"/>
              </w:rPr>
            </w:pPr>
          </w:p>
        </w:tc>
      </w:tr>
      <w:tr w:rsidR="004F01A7" w:rsidTr="00263B7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01A7" w:rsidRPr="00D93AEA" w:rsidRDefault="004F01A7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  <w:lang w:eastAsia="en-US"/>
              </w:rPr>
            </w:pPr>
            <w:r w:rsidRPr="00D93AEA">
              <w:rPr>
                <w:rFonts w:asciiTheme="majorHAnsi" w:hAnsiTheme="majorHAnsi" w:cs="Arial"/>
                <w:b/>
                <w:color w:val="000000" w:themeColor="text1"/>
                <w:sz w:val="20"/>
                <w:lang w:eastAsia="en-US"/>
              </w:rPr>
              <w:t>3-Méthodologie</w:t>
            </w:r>
            <w:r w:rsidR="00B6454A" w:rsidRPr="00D93AEA">
              <w:rPr>
                <w:rFonts w:asciiTheme="majorHAnsi" w:hAnsiTheme="majorHAnsi" w:cs="Arial"/>
                <w:b/>
                <w:color w:val="000000" w:themeColor="text1"/>
                <w:sz w:val="20"/>
                <w:lang w:eastAsia="en-US"/>
              </w:rPr>
              <w:t xml:space="preserve"> envisagée</w:t>
            </w:r>
          </w:p>
        </w:tc>
      </w:tr>
      <w:tr w:rsidR="00B6454A" w:rsidTr="00263B7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54A" w:rsidRDefault="00B6454A" w:rsidP="00B6454A">
            <w:pPr>
              <w:jc w:val="both"/>
              <w:rPr>
                <w:rFonts w:asciiTheme="majorHAnsi" w:hAnsiTheme="majorHAnsi" w:cs="Calibri Light"/>
                <w:sz w:val="20"/>
              </w:rPr>
            </w:pPr>
            <w:r w:rsidRPr="00D93AEA">
              <w:rPr>
                <w:rFonts w:asciiTheme="majorHAnsi" w:hAnsiTheme="majorHAnsi" w:cs="Calibri Light"/>
                <w:sz w:val="20"/>
                <w:lang w:eastAsia="en-US"/>
              </w:rPr>
              <w:t xml:space="preserve">Le projet s’appuie sur le service d’observation AUVERWATCH de l’OPGC, labellisé nationalement (IR OZCAR, SNO H+, SNO RENOIR, INSU), </w:t>
            </w:r>
            <w:r w:rsidRPr="00D93AEA">
              <w:rPr>
                <w:rFonts w:asciiTheme="majorHAnsi" w:hAnsiTheme="majorHAnsi" w:cs="Calibri Light"/>
                <w:sz w:val="20"/>
              </w:rPr>
              <w:t xml:space="preserve">piloté scientifiquement par l’Université Clermont Auvergne avec l’appui d’autres acteurs scientifiques (Université de Bourgogne Franche-Comté, Université de Corse, Université de Rennes) </w:t>
            </w:r>
            <w:r w:rsidR="00D93AEA">
              <w:rPr>
                <w:rFonts w:asciiTheme="majorHAnsi" w:hAnsiTheme="majorHAnsi" w:cs="Calibri Light"/>
                <w:sz w:val="20"/>
              </w:rPr>
              <w:t xml:space="preserve">et </w:t>
            </w:r>
            <w:r w:rsidRPr="00D93AEA">
              <w:rPr>
                <w:rFonts w:asciiTheme="majorHAnsi" w:hAnsiTheme="majorHAnsi" w:cs="Calibri Light"/>
                <w:sz w:val="20"/>
              </w:rPr>
              <w:t>en partenariat étroit avec 2 gestionnaires de la ressource en eau</w:t>
            </w:r>
            <w:r w:rsidR="00D93AEA">
              <w:rPr>
                <w:rFonts w:asciiTheme="majorHAnsi" w:hAnsiTheme="majorHAnsi" w:cs="Calibri Light"/>
                <w:sz w:val="20"/>
              </w:rPr>
              <w:t xml:space="preserve"> : </w:t>
            </w:r>
            <w:r w:rsidRPr="00D93AEA">
              <w:rPr>
                <w:rFonts w:asciiTheme="majorHAnsi" w:hAnsiTheme="majorHAnsi" w:cs="Calibri Light"/>
                <w:sz w:val="20"/>
              </w:rPr>
              <w:t>Clermont Auvergne Métropole et Agence de l’Eau Loire-Bretagne</w:t>
            </w:r>
          </w:p>
          <w:p w:rsidR="00D93AEA" w:rsidRPr="00D93AEA" w:rsidRDefault="00D93AEA" w:rsidP="00B6454A">
            <w:pPr>
              <w:jc w:val="both"/>
              <w:rPr>
                <w:rFonts w:asciiTheme="majorHAnsi" w:hAnsiTheme="majorHAnsi" w:cs="Calibri Light"/>
                <w:sz w:val="20"/>
              </w:rPr>
            </w:pPr>
          </w:p>
          <w:p w:rsidR="00B6454A" w:rsidRPr="00D93AEA" w:rsidRDefault="00B6454A" w:rsidP="00B6454A">
            <w:pPr>
              <w:jc w:val="both"/>
              <w:rPr>
                <w:rFonts w:asciiTheme="majorHAnsi" w:hAnsiTheme="majorHAnsi" w:cs="Calibri Light"/>
                <w:bCs/>
                <w:sz w:val="20"/>
                <w:lang w:eastAsia="en-US"/>
              </w:rPr>
            </w:pPr>
            <w:r w:rsidRPr="00D93AEA">
              <w:rPr>
                <w:rFonts w:asciiTheme="majorHAnsi" w:hAnsiTheme="majorHAnsi" w:cs="Calibri Light"/>
                <w:bCs/>
                <w:sz w:val="20"/>
                <w:lang w:eastAsia="en-US"/>
              </w:rPr>
              <w:t>La méthodologie qui sera mise en œuvre associe les éléments suivants :</w:t>
            </w:r>
          </w:p>
          <w:p w:rsidR="00B6454A" w:rsidRPr="009B3E39" w:rsidRDefault="00B6454A" w:rsidP="00B6454A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607" w:hanging="247"/>
              <w:jc w:val="both"/>
              <w:rPr>
                <w:rFonts w:asciiTheme="majorHAnsi" w:hAnsiTheme="majorHAnsi" w:cs="Calibri Light"/>
                <w:bCs/>
                <w:sz w:val="20"/>
                <w:szCs w:val="20"/>
              </w:rPr>
            </w:pPr>
            <w:r w:rsidRPr="009B3E39">
              <w:rPr>
                <w:rFonts w:asciiTheme="majorHAnsi" w:hAnsiTheme="majorHAnsi" w:cs="Calibri Light"/>
                <w:bCs/>
                <w:sz w:val="20"/>
                <w:szCs w:val="20"/>
              </w:rPr>
              <w:t>collecte et interprétation des données hydrodynamiques et chimiques de l’hydrosystème alluvial de l’Allier sur l’ensemble du bassin versant ;</w:t>
            </w:r>
          </w:p>
          <w:p w:rsidR="00B6454A" w:rsidRPr="009B3E39" w:rsidRDefault="00B6454A" w:rsidP="00B6454A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607" w:hanging="247"/>
              <w:jc w:val="both"/>
              <w:rPr>
                <w:rFonts w:asciiTheme="majorHAnsi" w:hAnsiTheme="majorHAnsi" w:cs="Calibri Light"/>
                <w:bCs/>
                <w:sz w:val="20"/>
                <w:szCs w:val="20"/>
              </w:rPr>
            </w:pPr>
            <w:r w:rsidRPr="009B3E39">
              <w:rPr>
                <w:rFonts w:asciiTheme="majorHAnsi" w:hAnsiTheme="majorHAnsi" w:cs="Calibri Light"/>
                <w:bCs/>
                <w:sz w:val="20"/>
                <w:szCs w:val="20"/>
              </w:rPr>
              <w:t>prélèvements et analyses physico-chimiques et mesures géophysiques in situ pour compléter la base de données d’AUVERWATCH ;</w:t>
            </w:r>
          </w:p>
          <w:p w:rsidR="00B6454A" w:rsidRPr="009B3E39" w:rsidRDefault="00B6454A" w:rsidP="00B6454A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607" w:hanging="247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9B3E39">
              <w:rPr>
                <w:rFonts w:asciiTheme="majorHAnsi" w:hAnsiTheme="majorHAnsi" w:cs="Calibri Light"/>
                <w:sz w:val="20"/>
                <w:szCs w:val="20"/>
              </w:rPr>
              <w:t>modélisation numérique destinée à mieux définir le fonctionnement  actuel et de réaliser des simulations prospectives tenant compte du changement global ;</w:t>
            </w:r>
          </w:p>
          <w:p w:rsidR="00B6454A" w:rsidRPr="009B3E39" w:rsidRDefault="00D93AEA" w:rsidP="00D93AEA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607" w:hanging="247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9B3E39">
              <w:rPr>
                <w:rFonts w:asciiTheme="majorHAnsi" w:hAnsiTheme="majorHAnsi" w:cs="Calibri Light"/>
                <w:sz w:val="20"/>
                <w:szCs w:val="20"/>
              </w:rPr>
              <w:t xml:space="preserve">étude de la réactivité du milieu à partir d’un </w:t>
            </w:r>
            <w:r w:rsidR="00B6454A" w:rsidRPr="009B3E39">
              <w:rPr>
                <w:rFonts w:asciiTheme="majorHAnsi" w:hAnsiTheme="majorHAnsi" w:cs="Calibri Light"/>
                <w:sz w:val="20"/>
                <w:szCs w:val="20"/>
              </w:rPr>
              <w:t xml:space="preserve">modèle analogique </w:t>
            </w:r>
            <w:r w:rsidRPr="009B3E39">
              <w:rPr>
                <w:rFonts w:asciiTheme="majorHAnsi" w:hAnsiTheme="majorHAnsi" w:cs="Calibri Light"/>
                <w:sz w:val="20"/>
                <w:szCs w:val="20"/>
              </w:rPr>
              <w:t xml:space="preserve">de terrain </w:t>
            </w:r>
            <w:r w:rsidR="00B6454A" w:rsidRPr="009B3E39">
              <w:rPr>
                <w:rFonts w:asciiTheme="majorHAnsi" w:hAnsiTheme="majorHAnsi" w:cs="Calibri Light"/>
                <w:sz w:val="20"/>
                <w:szCs w:val="20"/>
              </w:rPr>
              <w:t>associant des méthodes de mesure distribuée de température à haute résolution par fibre optique (DTS) et des mesures chimi</w:t>
            </w:r>
            <w:r w:rsidRPr="009B3E39">
              <w:rPr>
                <w:rFonts w:asciiTheme="majorHAnsi" w:hAnsiTheme="majorHAnsi" w:cs="Calibri Light"/>
                <w:sz w:val="20"/>
                <w:szCs w:val="20"/>
              </w:rPr>
              <w:t>ques inorganiques et organiques.</w:t>
            </w:r>
          </w:p>
          <w:p w:rsidR="00D93AEA" w:rsidRPr="00D93AEA" w:rsidRDefault="00D93AEA" w:rsidP="00D93AEA">
            <w:pPr>
              <w:pStyle w:val="Paragraphedeliste"/>
              <w:spacing w:after="0" w:line="240" w:lineRule="auto"/>
              <w:ind w:left="607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A5312F" w:rsidRPr="00C1142C" w:rsidRDefault="00A5312F" w:rsidP="00263B74">
      <w:pPr>
        <w:spacing w:after="160" w:line="259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A5312F" w:rsidRPr="00C1142C" w:rsidSect="00E652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255"/>
    <w:multiLevelType w:val="hybridMultilevel"/>
    <w:tmpl w:val="A3465304"/>
    <w:lvl w:ilvl="0" w:tplc="F612C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620"/>
    <w:multiLevelType w:val="hybridMultilevel"/>
    <w:tmpl w:val="8AA42D26"/>
    <w:lvl w:ilvl="0" w:tplc="D0D4D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A79"/>
    <w:multiLevelType w:val="hybridMultilevel"/>
    <w:tmpl w:val="DA7ED7EA"/>
    <w:lvl w:ilvl="0" w:tplc="15720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4C7D"/>
    <w:multiLevelType w:val="hybridMultilevel"/>
    <w:tmpl w:val="19AEABEE"/>
    <w:lvl w:ilvl="0" w:tplc="15720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09C5"/>
    <w:multiLevelType w:val="hybridMultilevel"/>
    <w:tmpl w:val="EEE45B2A"/>
    <w:lvl w:ilvl="0" w:tplc="D0D4DA4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AA5E43"/>
    <w:multiLevelType w:val="hybridMultilevel"/>
    <w:tmpl w:val="4A145DEC"/>
    <w:lvl w:ilvl="0" w:tplc="C076E9A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0B5D"/>
    <w:multiLevelType w:val="hybridMultilevel"/>
    <w:tmpl w:val="3992EA3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D6693A"/>
    <w:multiLevelType w:val="hybridMultilevel"/>
    <w:tmpl w:val="D03E6FAA"/>
    <w:lvl w:ilvl="0" w:tplc="CF9897F4">
      <w:start w:val="8"/>
      <w:numFmt w:val="bullet"/>
      <w:lvlText w:val="-"/>
      <w:lvlJc w:val="left"/>
      <w:pPr>
        <w:ind w:left="720" w:hanging="360"/>
      </w:pPr>
      <w:rPr>
        <w:rFonts w:ascii="Calibri Light" w:eastAsia="Time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100F4"/>
    <w:multiLevelType w:val="hybridMultilevel"/>
    <w:tmpl w:val="6C349068"/>
    <w:lvl w:ilvl="0" w:tplc="15720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531A8"/>
    <w:multiLevelType w:val="hybridMultilevel"/>
    <w:tmpl w:val="EC284BC8"/>
    <w:lvl w:ilvl="0" w:tplc="02EC5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5A57"/>
    <w:multiLevelType w:val="hybridMultilevel"/>
    <w:tmpl w:val="863AF810"/>
    <w:lvl w:ilvl="0" w:tplc="AB52193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60AFA"/>
    <w:multiLevelType w:val="hybridMultilevel"/>
    <w:tmpl w:val="8CFAD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E1F3C"/>
    <w:multiLevelType w:val="hybridMultilevel"/>
    <w:tmpl w:val="16368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759A"/>
    <w:multiLevelType w:val="hybridMultilevel"/>
    <w:tmpl w:val="BC929FB6"/>
    <w:lvl w:ilvl="0" w:tplc="D0D4D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B5E8A"/>
    <w:multiLevelType w:val="hybridMultilevel"/>
    <w:tmpl w:val="A4248C2A"/>
    <w:lvl w:ilvl="0" w:tplc="0AA47B6E">
      <w:start w:val="2"/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  <w:i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A171507"/>
    <w:multiLevelType w:val="hybridMultilevel"/>
    <w:tmpl w:val="6FC8A552"/>
    <w:lvl w:ilvl="0" w:tplc="8B04C40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6" w:hanging="360"/>
      </w:pPr>
    </w:lvl>
    <w:lvl w:ilvl="2" w:tplc="040C001B" w:tentative="1">
      <w:start w:val="1"/>
      <w:numFmt w:val="lowerRoman"/>
      <w:lvlText w:val="%3."/>
      <w:lvlJc w:val="right"/>
      <w:pPr>
        <w:ind w:left="2116" w:hanging="180"/>
      </w:pPr>
    </w:lvl>
    <w:lvl w:ilvl="3" w:tplc="040C000F" w:tentative="1">
      <w:start w:val="1"/>
      <w:numFmt w:val="decimal"/>
      <w:lvlText w:val="%4."/>
      <w:lvlJc w:val="left"/>
      <w:pPr>
        <w:ind w:left="2836" w:hanging="360"/>
      </w:pPr>
    </w:lvl>
    <w:lvl w:ilvl="4" w:tplc="040C0019" w:tentative="1">
      <w:start w:val="1"/>
      <w:numFmt w:val="lowerLetter"/>
      <w:lvlText w:val="%5."/>
      <w:lvlJc w:val="left"/>
      <w:pPr>
        <w:ind w:left="3556" w:hanging="360"/>
      </w:pPr>
    </w:lvl>
    <w:lvl w:ilvl="5" w:tplc="040C001B" w:tentative="1">
      <w:start w:val="1"/>
      <w:numFmt w:val="lowerRoman"/>
      <w:lvlText w:val="%6."/>
      <w:lvlJc w:val="right"/>
      <w:pPr>
        <w:ind w:left="4276" w:hanging="180"/>
      </w:pPr>
    </w:lvl>
    <w:lvl w:ilvl="6" w:tplc="040C000F" w:tentative="1">
      <w:start w:val="1"/>
      <w:numFmt w:val="decimal"/>
      <w:lvlText w:val="%7."/>
      <w:lvlJc w:val="left"/>
      <w:pPr>
        <w:ind w:left="4996" w:hanging="360"/>
      </w:pPr>
    </w:lvl>
    <w:lvl w:ilvl="7" w:tplc="040C0019" w:tentative="1">
      <w:start w:val="1"/>
      <w:numFmt w:val="lowerLetter"/>
      <w:lvlText w:val="%8."/>
      <w:lvlJc w:val="left"/>
      <w:pPr>
        <w:ind w:left="5716" w:hanging="360"/>
      </w:pPr>
    </w:lvl>
    <w:lvl w:ilvl="8" w:tplc="040C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79"/>
    <w:rsid w:val="0010304A"/>
    <w:rsid w:val="001745BF"/>
    <w:rsid w:val="002221F1"/>
    <w:rsid w:val="0024657C"/>
    <w:rsid w:val="00253C80"/>
    <w:rsid w:val="00263B74"/>
    <w:rsid w:val="00270A4B"/>
    <w:rsid w:val="002B7EC0"/>
    <w:rsid w:val="00402766"/>
    <w:rsid w:val="0045528B"/>
    <w:rsid w:val="00466982"/>
    <w:rsid w:val="004F01A7"/>
    <w:rsid w:val="005B2BFD"/>
    <w:rsid w:val="006376E4"/>
    <w:rsid w:val="008E5F85"/>
    <w:rsid w:val="009B3E39"/>
    <w:rsid w:val="00A5312F"/>
    <w:rsid w:val="00B6454A"/>
    <w:rsid w:val="00C1142C"/>
    <w:rsid w:val="00C162A6"/>
    <w:rsid w:val="00CE00C7"/>
    <w:rsid w:val="00D60DEE"/>
    <w:rsid w:val="00D93AEA"/>
    <w:rsid w:val="00E42879"/>
    <w:rsid w:val="00E652BA"/>
    <w:rsid w:val="00E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3F36"/>
  <w15:docId w15:val="{A9EE87A9-0A9C-4347-A6A1-A1F6E0E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79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42879"/>
    <w:pPr>
      <w:jc w:val="both"/>
    </w:pPr>
    <w:rPr>
      <w:i/>
    </w:rPr>
  </w:style>
  <w:style w:type="character" w:customStyle="1" w:styleId="CorpsdetexteCar">
    <w:name w:val="Corps de texte Car"/>
    <w:basedOn w:val="Policepardfaut"/>
    <w:link w:val="Corpsdetexte"/>
    <w:rsid w:val="00E42879"/>
    <w:rPr>
      <w:rFonts w:ascii="Times" w:eastAsia="Times" w:hAnsi="Times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E42879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E42879"/>
    <w:rPr>
      <w:rFonts w:ascii="Times" w:eastAsia="Times" w:hAnsi="Times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55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5528B"/>
  </w:style>
  <w:style w:type="table" w:styleId="Grilledutableau">
    <w:name w:val="Table Grid"/>
    <w:basedOn w:val="TableauNormal"/>
    <w:uiPriority w:val="39"/>
    <w:rsid w:val="00A5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A531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312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0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0C7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illes.mailhot@uc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e.jeanton@univ-fcom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Celle-Jeanton</dc:creator>
  <cp:lastModifiedBy>Claire HARDY</cp:lastModifiedBy>
  <cp:revision>7</cp:revision>
  <dcterms:created xsi:type="dcterms:W3CDTF">2020-04-21T19:03:00Z</dcterms:created>
  <dcterms:modified xsi:type="dcterms:W3CDTF">2020-05-07T14:33:00Z</dcterms:modified>
</cp:coreProperties>
</file>